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0877B" w14:textId="7FA8854F" w:rsidR="00513CB5" w:rsidRPr="00721C2C" w:rsidRDefault="002A0756" w:rsidP="00ED18D4">
      <w:pPr>
        <w:autoSpaceDE w:val="0"/>
        <w:autoSpaceDN w:val="0"/>
        <w:adjustRightInd w:val="0"/>
        <w:rPr>
          <w:b/>
          <w:bCs/>
          <w:noProof w:val="0"/>
          <w:color w:val="000000"/>
        </w:rPr>
      </w:pPr>
      <w:r w:rsidRPr="00721C2C">
        <w:drawing>
          <wp:anchor distT="0" distB="0" distL="114300" distR="114300" simplePos="0" relativeHeight="251657728" behindDoc="0" locked="0" layoutInCell="1" allowOverlap="1" wp14:anchorId="6A32FCF3" wp14:editId="65AB8209">
            <wp:simplePos x="0" y="0"/>
            <wp:positionH relativeFrom="column">
              <wp:posOffset>2790825</wp:posOffset>
            </wp:positionH>
            <wp:positionV relativeFrom="paragraph">
              <wp:posOffset>-567690</wp:posOffset>
            </wp:positionV>
            <wp:extent cx="609600" cy="80962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96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CB5" w:rsidRPr="00721C2C">
        <w:rPr>
          <w:b/>
          <w:bCs/>
          <w:noProof w:val="0"/>
          <w:color w:val="000000"/>
        </w:rPr>
        <w:t xml:space="preserve">                                                                                                                                                                                                                                                                                                                                                                                                                                                                                                                                                                              </w:t>
      </w:r>
    </w:p>
    <w:p w14:paraId="36BA6B33" w14:textId="77777777" w:rsidR="00513CB5" w:rsidRPr="00721C2C" w:rsidRDefault="00513CB5" w:rsidP="00ED18D4">
      <w:pPr>
        <w:autoSpaceDE w:val="0"/>
        <w:autoSpaceDN w:val="0"/>
        <w:adjustRightInd w:val="0"/>
        <w:rPr>
          <w:b/>
          <w:bCs/>
          <w:noProof w:val="0"/>
          <w:color w:val="000000"/>
        </w:rPr>
      </w:pPr>
    </w:p>
    <w:p w14:paraId="28AF6490" w14:textId="77777777" w:rsidR="00513CB5" w:rsidRPr="00721C2C" w:rsidRDefault="00513CB5" w:rsidP="00ED18D4">
      <w:pPr>
        <w:rPr>
          <w:b/>
          <w:bCs/>
          <w:noProof w:val="0"/>
          <w:color w:val="000000"/>
        </w:rPr>
      </w:pPr>
    </w:p>
    <w:p w14:paraId="6BB1A467" w14:textId="77777777" w:rsidR="00513CB5" w:rsidRPr="00721C2C" w:rsidRDefault="00513CB5" w:rsidP="00ED18D4">
      <w:pPr>
        <w:rPr>
          <w:b/>
          <w:bCs/>
          <w:noProof w:val="0"/>
          <w:color w:val="000000"/>
        </w:rPr>
      </w:pPr>
    </w:p>
    <w:p w14:paraId="18FCF72F" w14:textId="77777777" w:rsidR="00F537D7" w:rsidRPr="00721C2C" w:rsidRDefault="005F2A68" w:rsidP="00831398">
      <w:pPr>
        <w:jc w:val="center"/>
        <w:rPr>
          <w:b/>
          <w:bCs/>
          <w:noProof w:val="0"/>
          <w:color w:val="000000"/>
        </w:rPr>
      </w:pPr>
      <w:r w:rsidRPr="00721C2C">
        <w:rPr>
          <w:b/>
          <w:bCs/>
          <w:noProof w:val="0"/>
          <w:color w:val="000000"/>
        </w:rPr>
        <w:t>ORDONANȚĂ DE URGENȚĂ</w:t>
      </w:r>
    </w:p>
    <w:p w14:paraId="3BA391FA" w14:textId="5AFF9D8A" w:rsidR="00135DF5" w:rsidRPr="00721C2C" w:rsidRDefault="00B61B97" w:rsidP="00831398">
      <w:pPr>
        <w:jc w:val="center"/>
        <w:rPr>
          <w:b/>
          <w:noProof w:val="0"/>
          <w:color w:val="000000"/>
        </w:rPr>
      </w:pPr>
      <w:bookmarkStart w:id="0" w:name="_Hlk96445490"/>
      <w:r w:rsidRPr="00721C2C">
        <w:rPr>
          <w:b/>
          <w:noProof w:val="0"/>
          <w:color w:val="000000"/>
        </w:rPr>
        <w:t xml:space="preserve">pentru modificarea și completarea Ordonanței de urgență a Guvernului nr. 163/2022 </w:t>
      </w:r>
      <w:r w:rsidR="00925BAE" w:rsidRPr="00721C2C">
        <w:rPr>
          <w:b/>
          <w:noProof w:val="0"/>
          <w:color w:val="000000"/>
        </w:rPr>
        <w:t xml:space="preserve">pentru </w:t>
      </w:r>
      <w:r w:rsidR="00ED6B6D" w:rsidRPr="00721C2C">
        <w:rPr>
          <w:b/>
          <w:noProof w:val="0"/>
          <w:color w:val="000000"/>
        </w:rPr>
        <w:t xml:space="preserve">completarea cadrului legal de </w:t>
      </w:r>
      <w:r w:rsidR="00223AC0" w:rsidRPr="00721C2C">
        <w:rPr>
          <w:b/>
          <w:noProof w:val="0"/>
          <w:color w:val="000000"/>
        </w:rPr>
        <w:t>promovare</w:t>
      </w:r>
      <w:r w:rsidR="00ED6B6D" w:rsidRPr="00721C2C">
        <w:rPr>
          <w:b/>
          <w:noProof w:val="0"/>
          <w:color w:val="000000"/>
        </w:rPr>
        <w:t xml:space="preserve"> </w:t>
      </w:r>
      <w:r w:rsidR="00223AC0" w:rsidRPr="00721C2C">
        <w:rPr>
          <w:b/>
          <w:noProof w:val="0"/>
          <w:color w:val="000000"/>
        </w:rPr>
        <w:t>a utilizării energiei din surse regenerabile</w:t>
      </w:r>
      <w:r w:rsidR="009C08EA" w:rsidRPr="00721C2C">
        <w:rPr>
          <w:b/>
          <w:noProof w:val="0"/>
          <w:color w:val="000000"/>
        </w:rPr>
        <w:t>, precum</w:t>
      </w:r>
      <w:r w:rsidR="00223AC0" w:rsidRPr="00721C2C">
        <w:rPr>
          <w:b/>
          <w:noProof w:val="0"/>
          <w:color w:val="000000"/>
        </w:rPr>
        <w:t xml:space="preserve"> şi </w:t>
      </w:r>
      <w:r w:rsidR="00FB30F0" w:rsidRPr="00721C2C">
        <w:rPr>
          <w:b/>
          <w:noProof w:val="0"/>
          <w:color w:val="000000"/>
        </w:rPr>
        <w:t xml:space="preserve">pentru modificarea </w:t>
      </w:r>
      <w:r w:rsidR="00441C1B" w:rsidRPr="00721C2C">
        <w:rPr>
          <w:b/>
          <w:noProof w:val="0"/>
          <w:color w:val="000000"/>
        </w:rPr>
        <w:t xml:space="preserve">și completarea </w:t>
      </w:r>
      <w:r w:rsidR="00FB30F0" w:rsidRPr="00721C2C">
        <w:rPr>
          <w:b/>
          <w:noProof w:val="0"/>
          <w:color w:val="000000"/>
        </w:rPr>
        <w:t>unor acte normative</w:t>
      </w:r>
    </w:p>
    <w:bookmarkEnd w:id="0"/>
    <w:p w14:paraId="0D23FDBD" w14:textId="77777777" w:rsidR="00705B33" w:rsidRPr="00721C2C" w:rsidRDefault="00705B33" w:rsidP="00ED18D4">
      <w:pPr>
        <w:tabs>
          <w:tab w:val="left" w:pos="8115"/>
        </w:tabs>
        <w:rPr>
          <w:noProof w:val="0"/>
          <w:color w:val="000000"/>
        </w:rPr>
      </w:pPr>
    </w:p>
    <w:p w14:paraId="38F6D14B" w14:textId="77777777" w:rsidR="00831398" w:rsidRPr="00831398" w:rsidRDefault="00831398" w:rsidP="00831398">
      <w:bookmarkStart w:id="1" w:name="_Hlk90229562"/>
      <w:r w:rsidRPr="00831398">
        <w:t>Având în vedere angajamentele și termenele asumate de România în raport cu instituțiile Uniunii Europene, precum și riscul de sesizare a Curții de Justiție a Uniunii Europene în cauza 2021/0333 – procedură de infringement având ca obiect netranspunerea în termen a Directivei (UE) 2018/2001 A PARLAMENTULUI EUROPEAN ȘI A CONSILIULUI</w:t>
      </w:r>
    </w:p>
    <w:p w14:paraId="6FC80C40" w14:textId="77777777" w:rsidR="00831398" w:rsidRPr="00831398" w:rsidRDefault="00831398" w:rsidP="00831398">
      <w:r w:rsidRPr="00831398">
        <w:t xml:space="preserve">din 11 decembrie 2018 (reformare) privind promovarea utilizǎrii energiei din surse regenerabile, înaintatǎ autoritǎţilor române, </w:t>
      </w:r>
    </w:p>
    <w:p w14:paraId="3349164E" w14:textId="77777777" w:rsidR="00831398" w:rsidRPr="00831398" w:rsidRDefault="00831398" w:rsidP="00831398">
      <w:r w:rsidRPr="00831398">
        <w:t>faptul că, potrivit art. 288 din Tratatul privind funcționarea Uniunii Europene, directiva, ca act   juridic al Uniunii Europene, este obligatorie pentru fiecare stat membru cu privire la rezultatul care trebuie atins,</w:t>
      </w:r>
    </w:p>
    <w:p w14:paraId="38C9EDF0" w14:textId="3AC69BC5" w:rsidR="00F264AE" w:rsidRPr="00831398" w:rsidRDefault="00831398" w:rsidP="00831398">
      <w:r w:rsidRPr="00831398">
        <w:t>faptul că, prin Directiva (UE) 2018/2001, au fost impuse obligații statelor membre, care trebuie să ia în considerare nivelul de ambiție prevăzut în Acordul de la Paris, precum și progresele tehnologice, inclusiv reducerea costurilor investițiilor în energia din surse regenerabile,</w:t>
      </w:r>
    </w:p>
    <w:bookmarkEnd w:id="1"/>
    <w:p w14:paraId="6AFD587D" w14:textId="77777777" w:rsidR="00555F85" w:rsidRPr="00555F85" w:rsidRDefault="00555F85" w:rsidP="00831398">
      <w:pPr>
        <w:spacing w:before="0" w:after="200"/>
        <w:ind w:left="842" w:hanging="540"/>
        <w:rPr>
          <w:bCs/>
          <w:noProof w:val="0"/>
          <w:color w:val="0D0D0D"/>
        </w:rPr>
      </w:pPr>
      <w:r w:rsidRPr="00555F85">
        <w:rPr>
          <w:bCs/>
          <w:noProof w:val="0"/>
          <w:color w:val="0D0D0D"/>
        </w:rPr>
        <w:t xml:space="preserve">având în vedere faptul că în iulie 2021 Comisia a propus, în cadrul pachetului de punere în aplicare a Pactului verde european, dublarea ponderii energiei din surse regenerabile în mixul energetic în 2030 față de 2020, pentru a ajunge la cel puțin 40 % față de </w:t>
      </w:r>
      <w:proofErr w:type="spellStart"/>
      <w:r w:rsidRPr="00555F85">
        <w:rPr>
          <w:bCs/>
          <w:noProof w:val="0"/>
          <w:color w:val="0D0D0D"/>
          <w:lang w:val="en-US"/>
        </w:rPr>
        <w:t>obiectivul</w:t>
      </w:r>
      <w:proofErr w:type="spellEnd"/>
      <w:r w:rsidRPr="00555F85">
        <w:rPr>
          <w:bCs/>
          <w:noProof w:val="0"/>
          <w:color w:val="0D0D0D"/>
          <w:lang w:val="en-US"/>
        </w:rPr>
        <w:t xml:space="preserve"> general </w:t>
      </w:r>
      <w:proofErr w:type="spellStart"/>
      <w:r w:rsidRPr="00555F85">
        <w:rPr>
          <w:bCs/>
          <w:noProof w:val="0"/>
          <w:color w:val="0D0D0D"/>
          <w:lang w:val="en-US"/>
        </w:rPr>
        <w:t>obligatoriu</w:t>
      </w:r>
      <w:proofErr w:type="spellEnd"/>
      <w:r w:rsidRPr="00555F85">
        <w:rPr>
          <w:bCs/>
          <w:noProof w:val="0"/>
          <w:color w:val="0D0D0D"/>
          <w:lang w:val="en-US"/>
        </w:rPr>
        <w:t xml:space="preserve"> al </w:t>
      </w:r>
      <w:proofErr w:type="spellStart"/>
      <w:r w:rsidRPr="00555F85">
        <w:rPr>
          <w:bCs/>
          <w:noProof w:val="0"/>
          <w:color w:val="0D0D0D"/>
          <w:lang w:val="en-US"/>
        </w:rPr>
        <w:t>Uniunii</w:t>
      </w:r>
      <w:proofErr w:type="spellEnd"/>
      <w:r w:rsidRPr="00555F85">
        <w:rPr>
          <w:bCs/>
          <w:noProof w:val="0"/>
          <w:color w:val="0D0D0D"/>
          <w:lang w:val="en-US"/>
        </w:rPr>
        <w:t xml:space="preserve"> de </w:t>
      </w:r>
      <w:proofErr w:type="spellStart"/>
      <w:r w:rsidRPr="00555F85">
        <w:rPr>
          <w:bCs/>
          <w:noProof w:val="0"/>
          <w:color w:val="0D0D0D"/>
          <w:lang w:val="en-US"/>
        </w:rPr>
        <w:t>atingere</w:t>
      </w:r>
      <w:proofErr w:type="spellEnd"/>
      <w:r w:rsidRPr="00555F85">
        <w:rPr>
          <w:bCs/>
          <w:noProof w:val="0"/>
          <w:color w:val="0D0D0D"/>
          <w:lang w:val="en-US"/>
        </w:rPr>
        <w:t xml:space="preserve"> a </w:t>
      </w:r>
      <w:proofErr w:type="spellStart"/>
      <w:r w:rsidRPr="00555F85">
        <w:rPr>
          <w:bCs/>
          <w:noProof w:val="0"/>
          <w:color w:val="0D0D0D"/>
          <w:lang w:val="en-US"/>
        </w:rPr>
        <w:t>unei</w:t>
      </w:r>
      <w:proofErr w:type="spellEnd"/>
      <w:r w:rsidRPr="00555F85">
        <w:rPr>
          <w:bCs/>
          <w:noProof w:val="0"/>
          <w:color w:val="0D0D0D"/>
          <w:lang w:val="en-US"/>
        </w:rPr>
        <w:t xml:space="preserve"> </w:t>
      </w:r>
      <w:proofErr w:type="spellStart"/>
      <w:r w:rsidRPr="00555F85">
        <w:rPr>
          <w:bCs/>
          <w:noProof w:val="0"/>
          <w:color w:val="0D0D0D"/>
          <w:lang w:val="en-US"/>
        </w:rPr>
        <w:t>ponderi</w:t>
      </w:r>
      <w:proofErr w:type="spellEnd"/>
      <w:r w:rsidRPr="00555F85">
        <w:rPr>
          <w:bCs/>
          <w:noProof w:val="0"/>
          <w:color w:val="0D0D0D"/>
          <w:lang w:val="en-US"/>
        </w:rPr>
        <w:t xml:space="preserve"> de cel </w:t>
      </w:r>
      <w:proofErr w:type="spellStart"/>
      <w:r w:rsidRPr="00555F85">
        <w:rPr>
          <w:bCs/>
          <w:noProof w:val="0"/>
          <w:color w:val="0D0D0D"/>
          <w:lang w:val="en-US"/>
        </w:rPr>
        <w:t>puțin</w:t>
      </w:r>
      <w:proofErr w:type="spellEnd"/>
      <w:r w:rsidRPr="00555F85">
        <w:rPr>
          <w:bCs/>
          <w:noProof w:val="0"/>
          <w:color w:val="0D0D0D"/>
          <w:lang w:val="en-US"/>
        </w:rPr>
        <w:t xml:space="preserve"> 32 % a </w:t>
      </w:r>
      <w:proofErr w:type="spellStart"/>
      <w:r w:rsidRPr="00555F85">
        <w:rPr>
          <w:bCs/>
          <w:noProof w:val="0"/>
          <w:color w:val="0D0D0D"/>
          <w:lang w:val="en-US"/>
        </w:rPr>
        <w:t>energiei</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cadrul</w:t>
      </w:r>
      <w:proofErr w:type="spellEnd"/>
      <w:r w:rsidRPr="00555F85">
        <w:rPr>
          <w:bCs/>
          <w:noProof w:val="0"/>
          <w:color w:val="0D0D0D"/>
          <w:lang w:val="en-US"/>
        </w:rPr>
        <w:t xml:space="preserve"> </w:t>
      </w:r>
      <w:proofErr w:type="spellStart"/>
      <w:r w:rsidRPr="00555F85">
        <w:rPr>
          <w:bCs/>
          <w:noProof w:val="0"/>
          <w:color w:val="0D0D0D"/>
          <w:lang w:val="en-US"/>
        </w:rPr>
        <w:t>consumului</w:t>
      </w:r>
      <w:proofErr w:type="spellEnd"/>
      <w:r w:rsidRPr="00555F85">
        <w:rPr>
          <w:bCs/>
          <w:noProof w:val="0"/>
          <w:color w:val="0D0D0D"/>
          <w:lang w:val="en-US"/>
        </w:rPr>
        <w:t xml:space="preserve"> final brut de </w:t>
      </w:r>
      <w:proofErr w:type="spellStart"/>
      <w:r w:rsidRPr="00555F85">
        <w:rPr>
          <w:bCs/>
          <w:noProof w:val="0"/>
          <w:color w:val="0D0D0D"/>
          <w:lang w:val="en-US"/>
        </w:rPr>
        <w:t>energie</w:t>
      </w:r>
      <w:proofErr w:type="spellEnd"/>
      <w:r w:rsidRPr="00555F85">
        <w:rPr>
          <w:bCs/>
          <w:noProof w:val="0"/>
          <w:color w:val="0D0D0D"/>
          <w:lang w:val="en-US"/>
        </w:rPr>
        <w:t xml:space="preserve"> al </w:t>
      </w:r>
      <w:proofErr w:type="spellStart"/>
      <w:r w:rsidRPr="00555F85">
        <w:rPr>
          <w:bCs/>
          <w:noProof w:val="0"/>
          <w:color w:val="0D0D0D"/>
          <w:lang w:val="en-US"/>
        </w:rPr>
        <w:t>Uniunii</w:t>
      </w:r>
      <w:proofErr w:type="spellEnd"/>
      <w:r w:rsidRPr="00555F85">
        <w:rPr>
          <w:bCs/>
          <w:noProof w:val="0"/>
          <w:color w:val="0D0D0D"/>
          <w:lang w:val="en-US"/>
        </w:rPr>
        <w:t xml:space="preserve"> </w:t>
      </w:r>
      <w:proofErr w:type="spellStart"/>
      <w:r w:rsidRPr="00555F85">
        <w:rPr>
          <w:bCs/>
          <w:noProof w:val="0"/>
          <w:color w:val="0D0D0D"/>
          <w:lang w:val="en-US"/>
        </w:rPr>
        <w:t>până</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2030</w:t>
      </w:r>
      <w:r w:rsidRPr="00555F85">
        <w:rPr>
          <w:bCs/>
          <w:noProof w:val="0"/>
          <w:color w:val="0D0D0D"/>
        </w:rPr>
        <w:t>, stabilit prin</w:t>
      </w:r>
      <w:r w:rsidRPr="00555F85">
        <w:rPr>
          <w:rFonts w:ascii="Calibri" w:hAnsi="Calibri"/>
          <w:bCs/>
          <w:noProof w:val="0"/>
          <w:sz w:val="22"/>
          <w:szCs w:val="22"/>
          <w:lang w:val="en-US"/>
        </w:rPr>
        <w:t xml:space="preserve"> </w:t>
      </w:r>
      <w:r w:rsidRPr="00555F85">
        <w:rPr>
          <w:bCs/>
          <w:noProof w:val="0"/>
          <w:color w:val="0D0D0D"/>
        </w:rPr>
        <w:t>Directiva (UE) 2018/2001 a Parlamentului European și a Consiliului din 11 decembrie 2018 privind promovarea utilizării energiei din surse regenerabile,</w:t>
      </w:r>
    </w:p>
    <w:p w14:paraId="1438AC1F" w14:textId="77777777" w:rsidR="00555F85" w:rsidRPr="00D16D9D" w:rsidRDefault="00555F85" w:rsidP="00831398">
      <w:pPr>
        <w:spacing w:before="0" w:after="200"/>
        <w:ind w:left="842" w:hanging="540"/>
        <w:rPr>
          <w:bCs/>
          <w:noProof w:val="0"/>
          <w:color w:val="0D0D0D"/>
        </w:rPr>
      </w:pPr>
      <w:r w:rsidRPr="00555F85">
        <w:rPr>
          <w:bCs/>
          <w:noProof w:val="0"/>
          <w:color w:val="0D0D0D"/>
        </w:rPr>
        <w:t>ținând cont de contextul geopolitic regional,</w:t>
      </w:r>
      <w:r w:rsidRPr="00D16D9D">
        <w:rPr>
          <w:rFonts w:ascii="Calibri" w:hAnsi="Calibri"/>
          <w:noProof w:val="0"/>
          <w:color w:val="000000"/>
          <w:sz w:val="22"/>
          <w:szCs w:val="22"/>
          <w:shd w:val="clear" w:color="auto" w:fill="FFFFFF"/>
        </w:rPr>
        <w:t xml:space="preserve"> </w:t>
      </w:r>
      <w:r w:rsidRPr="00555F85">
        <w:rPr>
          <w:bCs/>
          <w:noProof w:val="0"/>
          <w:color w:val="0D0D0D"/>
        </w:rPr>
        <w:t xml:space="preserve">în vederea realizării obiectivului pe termen lung al unui sistem energetic independent de țările terțe, Uniunea ar trebui să pună accentul pe accelerarea tranziției verzi și pe asigurarea unei politici energetice de reducere a emisiilor, care să reducă dependența de combustibilii fosili importați și să promoveze prețuri corecte și accesibile cetățenilor și întreprinderilor Uniunii din toate sectoarele economiei. </w:t>
      </w:r>
      <w:r w:rsidRPr="00D16D9D">
        <w:rPr>
          <w:bCs/>
          <w:noProof w:val="0"/>
          <w:color w:val="0D0D0D"/>
        </w:rPr>
        <w:t>accelerarea tranziției verzi și pe asigurarea unei politici energetice de reducere a emisiilor, accentul care să reducă dependența de combustibilii fosili importați și să promoveze prețuri corecte și accesibile cetățenilor și întreprinderilor Uniunii din toate sectoarele economiei,</w:t>
      </w:r>
    </w:p>
    <w:p w14:paraId="5D2FECB7" w14:textId="77777777" w:rsidR="00555F85" w:rsidRPr="00555F85" w:rsidRDefault="00555F85" w:rsidP="00831398">
      <w:pPr>
        <w:spacing w:before="0" w:after="200"/>
        <w:ind w:left="842" w:hanging="540"/>
        <w:rPr>
          <w:bCs/>
          <w:noProof w:val="0"/>
          <w:color w:val="0D0D0D"/>
          <w:lang w:val="en-US"/>
        </w:rPr>
      </w:pPr>
      <w:r w:rsidRPr="00D16D9D">
        <w:rPr>
          <w:bCs/>
          <w:noProof w:val="0"/>
          <w:color w:val="0D0D0D"/>
          <w:lang w:val="pt-BR"/>
        </w:rPr>
        <w:t xml:space="preserve">necesitatea utilizării eficiente a resurselor de biomasă, acordând prioritate, ori de câte ori este posibil, utilizării materiilor prime de biomasă în defavoarea utilizării sale pentru </w:t>
      </w:r>
      <w:r w:rsidRPr="00D16D9D">
        <w:rPr>
          <w:bCs/>
          <w:noProof w:val="0"/>
          <w:color w:val="0D0D0D"/>
          <w:lang w:val="pt-BR"/>
        </w:rPr>
        <w:lastRenderedPageBreak/>
        <w:t xml:space="preserve">energie, crescând astfel cantitatea de biomasă disponibilă în cadrul sistemului. </w:t>
      </w:r>
      <w:r w:rsidRPr="00555F85">
        <w:rPr>
          <w:bCs/>
          <w:noProof w:val="0"/>
          <w:color w:val="0D0D0D"/>
          <w:lang w:val="en-US"/>
        </w:rPr>
        <w:t xml:space="preserve">O </w:t>
      </w:r>
      <w:proofErr w:type="spellStart"/>
      <w:r w:rsidRPr="00555F85">
        <w:rPr>
          <w:bCs/>
          <w:noProof w:val="0"/>
          <w:color w:val="0D0D0D"/>
          <w:lang w:val="en-US"/>
        </w:rPr>
        <w:t>astfel</w:t>
      </w:r>
      <w:proofErr w:type="spellEnd"/>
      <w:r w:rsidRPr="00555F85">
        <w:rPr>
          <w:bCs/>
          <w:noProof w:val="0"/>
          <w:color w:val="0D0D0D"/>
          <w:lang w:val="en-US"/>
        </w:rPr>
        <w:t xml:space="preserve"> de </w:t>
      </w:r>
      <w:proofErr w:type="spellStart"/>
      <w:r w:rsidRPr="00555F85">
        <w:rPr>
          <w:bCs/>
          <w:noProof w:val="0"/>
          <w:color w:val="0D0D0D"/>
          <w:lang w:val="en-US"/>
        </w:rPr>
        <w:t>aliniere</w:t>
      </w:r>
      <w:proofErr w:type="spellEnd"/>
      <w:r w:rsidRPr="00555F85">
        <w:rPr>
          <w:bCs/>
          <w:noProof w:val="0"/>
          <w:color w:val="0D0D0D"/>
          <w:lang w:val="en-US"/>
        </w:rPr>
        <w:t xml:space="preserve"> are ca scop </w:t>
      </w:r>
      <w:proofErr w:type="spellStart"/>
      <w:r w:rsidRPr="00555F85">
        <w:rPr>
          <w:bCs/>
          <w:noProof w:val="0"/>
          <w:color w:val="0D0D0D"/>
          <w:lang w:val="en-US"/>
        </w:rPr>
        <w:t>asigurarea</w:t>
      </w:r>
      <w:proofErr w:type="spellEnd"/>
      <w:r w:rsidRPr="00555F85">
        <w:rPr>
          <w:bCs/>
          <w:noProof w:val="0"/>
          <w:color w:val="0D0D0D"/>
          <w:lang w:val="en-US"/>
        </w:rPr>
        <w:t xml:space="preserve"> </w:t>
      </w:r>
      <w:proofErr w:type="spellStart"/>
      <w:r w:rsidRPr="00555F85">
        <w:rPr>
          <w:bCs/>
          <w:noProof w:val="0"/>
          <w:color w:val="0D0D0D"/>
          <w:lang w:val="en-US"/>
        </w:rPr>
        <w:t>unui</w:t>
      </w:r>
      <w:proofErr w:type="spellEnd"/>
      <w:r w:rsidRPr="00555F85">
        <w:rPr>
          <w:bCs/>
          <w:noProof w:val="0"/>
          <w:color w:val="0D0D0D"/>
          <w:lang w:val="en-US"/>
        </w:rPr>
        <w:t xml:space="preserve"> </w:t>
      </w:r>
      <w:proofErr w:type="spellStart"/>
      <w:r w:rsidRPr="00555F85">
        <w:rPr>
          <w:bCs/>
          <w:noProof w:val="0"/>
          <w:color w:val="0D0D0D"/>
          <w:lang w:val="en-US"/>
        </w:rPr>
        <w:t>acces</w:t>
      </w:r>
      <w:proofErr w:type="spellEnd"/>
      <w:r w:rsidRPr="00555F85">
        <w:rPr>
          <w:bCs/>
          <w:noProof w:val="0"/>
          <w:color w:val="0D0D0D"/>
          <w:lang w:val="en-US"/>
        </w:rPr>
        <w:t xml:space="preserve"> </w:t>
      </w:r>
      <w:proofErr w:type="spellStart"/>
      <w:r w:rsidRPr="00555F85">
        <w:rPr>
          <w:bCs/>
          <w:noProof w:val="0"/>
          <w:color w:val="0D0D0D"/>
          <w:lang w:val="en-US"/>
        </w:rPr>
        <w:t>echitabil</w:t>
      </w:r>
      <w:proofErr w:type="spellEnd"/>
      <w:r w:rsidRPr="00555F85">
        <w:rPr>
          <w:bCs/>
          <w:noProof w:val="0"/>
          <w:color w:val="0D0D0D"/>
          <w:lang w:val="en-US"/>
        </w:rPr>
        <w:t xml:space="preserve"> la </w:t>
      </w:r>
      <w:proofErr w:type="spellStart"/>
      <w:r w:rsidRPr="00555F85">
        <w:rPr>
          <w:bCs/>
          <w:noProof w:val="0"/>
          <w:color w:val="0D0D0D"/>
          <w:lang w:val="en-US"/>
        </w:rPr>
        <w:t>piața</w:t>
      </w:r>
      <w:proofErr w:type="spellEnd"/>
      <w:r w:rsidRPr="00555F85">
        <w:rPr>
          <w:bCs/>
          <w:noProof w:val="0"/>
          <w:color w:val="0D0D0D"/>
          <w:lang w:val="en-US"/>
        </w:rPr>
        <w:t xml:space="preserve"> </w:t>
      </w:r>
      <w:proofErr w:type="spellStart"/>
      <w:r w:rsidRPr="00555F85">
        <w:rPr>
          <w:bCs/>
          <w:noProof w:val="0"/>
          <w:color w:val="0D0D0D"/>
          <w:lang w:val="en-US"/>
        </w:rPr>
        <w:t>materiilor</w:t>
      </w:r>
      <w:proofErr w:type="spellEnd"/>
      <w:r w:rsidRPr="00555F85">
        <w:rPr>
          <w:bCs/>
          <w:noProof w:val="0"/>
          <w:color w:val="0D0D0D"/>
          <w:lang w:val="en-US"/>
        </w:rPr>
        <w:t xml:space="preserve"> prime din </w:t>
      </w:r>
      <w:proofErr w:type="spellStart"/>
      <w:r w:rsidRPr="00555F85">
        <w:rPr>
          <w:bCs/>
          <w:noProof w:val="0"/>
          <w:color w:val="0D0D0D"/>
          <w:lang w:val="en-US"/>
        </w:rPr>
        <w:t>biomasă</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vederea</w:t>
      </w:r>
      <w:proofErr w:type="spellEnd"/>
      <w:r w:rsidRPr="00555F85">
        <w:rPr>
          <w:bCs/>
          <w:noProof w:val="0"/>
          <w:color w:val="0D0D0D"/>
          <w:lang w:val="en-US"/>
        </w:rPr>
        <w:t xml:space="preserve"> </w:t>
      </w:r>
      <w:proofErr w:type="spellStart"/>
      <w:r w:rsidRPr="00555F85">
        <w:rPr>
          <w:bCs/>
          <w:noProof w:val="0"/>
          <w:color w:val="0D0D0D"/>
          <w:lang w:val="en-US"/>
        </w:rPr>
        <w:t>dezvoltării</w:t>
      </w:r>
      <w:proofErr w:type="spellEnd"/>
      <w:r w:rsidRPr="00555F85">
        <w:rPr>
          <w:bCs/>
          <w:noProof w:val="0"/>
          <w:color w:val="0D0D0D"/>
          <w:lang w:val="en-US"/>
        </w:rPr>
        <w:t xml:space="preserve"> de </w:t>
      </w:r>
      <w:proofErr w:type="spellStart"/>
      <w:r w:rsidRPr="00555F85">
        <w:rPr>
          <w:bCs/>
          <w:noProof w:val="0"/>
          <w:color w:val="0D0D0D"/>
          <w:lang w:val="en-US"/>
        </w:rPr>
        <w:t>soluții</w:t>
      </w:r>
      <w:proofErr w:type="spellEnd"/>
      <w:r w:rsidRPr="00555F85">
        <w:rPr>
          <w:bCs/>
          <w:noProof w:val="0"/>
          <w:color w:val="0D0D0D"/>
          <w:lang w:val="en-US"/>
        </w:rPr>
        <w:t xml:space="preserve"> </w:t>
      </w:r>
      <w:proofErr w:type="spellStart"/>
      <w:r w:rsidRPr="00555F85">
        <w:rPr>
          <w:bCs/>
          <w:noProof w:val="0"/>
          <w:color w:val="0D0D0D"/>
          <w:lang w:val="en-US"/>
        </w:rPr>
        <w:t>inovatoare</w:t>
      </w:r>
      <w:proofErr w:type="spellEnd"/>
      <w:r w:rsidRPr="00555F85">
        <w:rPr>
          <w:bCs/>
          <w:noProof w:val="0"/>
          <w:color w:val="0D0D0D"/>
          <w:lang w:val="en-US"/>
        </w:rPr>
        <w:t xml:space="preserve">, cu </w:t>
      </w:r>
      <w:proofErr w:type="spellStart"/>
      <w:r w:rsidRPr="00555F85">
        <w:rPr>
          <w:bCs/>
          <w:noProof w:val="0"/>
          <w:color w:val="0D0D0D"/>
          <w:lang w:val="en-US"/>
        </w:rPr>
        <w:t>valoare</w:t>
      </w:r>
      <w:proofErr w:type="spellEnd"/>
      <w:r w:rsidRPr="00555F85">
        <w:rPr>
          <w:bCs/>
          <w:noProof w:val="0"/>
          <w:color w:val="0D0D0D"/>
          <w:lang w:val="en-US"/>
        </w:rPr>
        <w:t xml:space="preserve"> </w:t>
      </w:r>
      <w:proofErr w:type="spellStart"/>
      <w:r w:rsidRPr="00555F85">
        <w:rPr>
          <w:bCs/>
          <w:noProof w:val="0"/>
          <w:color w:val="0D0D0D"/>
          <w:lang w:val="en-US"/>
        </w:rPr>
        <w:t>adăugată</w:t>
      </w:r>
      <w:proofErr w:type="spellEnd"/>
      <w:r w:rsidRPr="00555F85">
        <w:rPr>
          <w:bCs/>
          <w:noProof w:val="0"/>
          <w:color w:val="0D0D0D"/>
          <w:lang w:val="en-US"/>
        </w:rPr>
        <w:t xml:space="preserve"> </w:t>
      </w:r>
      <w:proofErr w:type="spellStart"/>
      <w:r w:rsidRPr="00555F85">
        <w:rPr>
          <w:bCs/>
          <w:noProof w:val="0"/>
          <w:color w:val="0D0D0D"/>
          <w:lang w:val="en-US"/>
        </w:rPr>
        <w:t>ridicată</w:t>
      </w:r>
      <w:proofErr w:type="spellEnd"/>
      <w:r w:rsidRPr="00555F85">
        <w:rPr>
          <w:bCs/>
          <w:noProof w:val="0"/>
          <w:color w:val="0D0D0D"/>
          <w:lang w:val="en-US"/>
        </w:rPr>
        <w:t xml:space="preserve">, </w:t>
      </w:r>
      <w:proofErr w:type="spellStart"/>
      <w:r w:rsidRPr="00555F85">
        <w:rPr>
          <w:bCs/>
          <w:noProof w:val="0"/>
          <w:color w:val="0D0D0D"/>
          <w:lang w:val="en-US"/>
        </w:rPr>
        <w:t>bazate</w:t>
      </w:r>
      <w:proofErr w:type="spellEnd"/>
      <w:r w:rsidRPr="00555F85">
        <w:rPr>
          <w:bCs/>
          <w:noProof w:val="0"/>
          <w:color w:val="0D0D0D"/>
          <w:lang w:val="en-US"/>
        </w:rPr>
        <w:t xml:space="preserve"> pe </w:t>
      </w:r>
      <w:proofErr w:type="spellStart"/>
      <w:r w:rsidRPr="00555F85">
        <w:rPr>
          <w:bCs/>
          <w:noProof w:val="0"/>
          <w:color w:val="0D0D0D"/>
          <w:lang w:val="en-US"/>
        </w:rPr>
        <w:t>biomasă</w:t>
      </w:r>
      <w:proofErr w:type="spellEnd"/>
      <w:r w:rsidRPr="00555F85">
        <w:rPr>
          <w:bCs/>
          <w:noProof w:val="0"/>
          <w:color w:val="0D0D0D"/>
          <w:lang w:val="en-US"/>
        </w:rPr>
        <w:t xml:space="preserve"> </w:t>
      </w:r>
      <w:proofErr w:type="spellStart"/>
      <w:r w:rsidRPr="00555F85">
        <w:rPr>
          <w:bCs/>
          <w:noProof w:val="0"/>
          <w:color w:val="0D0D0D"/>
          <w:lang w:val="en-US"/>
        </w:rPr>
        <w:t>și</w:t>
      </w:r>
      <w:proofErr w:type="spellEnd"/>
      <w:r w:rsidRPr="00555F85">
        <w:rPr>
          <w:bCs/>
          <w:noProof w:val="0"/>
          <w:color w:val="0D0D0D"/>
          <w:lang w:val="en-US"/>
        </w:rPr>
        <w:t xml:space="preserve"> a </w:t>
      </w:r>
      <w:proofErr w:type="spellStart"/>
      <w:r w:rsidRPr="00555F85">
        <w:rPr>
          <w:bCs/>
          <w:noProof w:val="0"/>
          <w:color w:val="0D0D0D"/>
          <w:lang w:val="en-US"/>
        </w:rPr>
        <w:t>unei</w:t>
      </w:r>
      <w:proofErr w:type="spellEnd"/>
      <w:r w:rsidRPr="00555F85">
        <w:rPr>
          <w:bCs/>
          <w:noProof w:val="0"/>
          <w:color w:val="0D0D0D"/>
          <w:lang w:val="en-US"/>
        </w:rPr>
        <w:t xml:space="preserve"> </w:t>
      </w:r>
      <w:proofErr w:type="spellStart"/>
      <w:r w:rsidRPr="00555F85">
        <w:rPr>
          <w:bCs/>
          <w:noProof w:val="0"/>
          <w:color w:val="0D0D0D"/>
          <w:lang w:val="en-US"/>
        </w:rPr>
        <w:t>bioeconomii</w:t>
      </w:r>
      <w:proofErr w:type="spellEnd"/>
      <w:r w:rsidRPr="00555F85">
        <w:rPr>
          <w:bCs/>
          <w:noProof w:val="0"/>
          <w:color w:val="0D0D0D"/>
          <w:lang w:val="en-US"/>
        </w:rPr>
        <w:t xml:space="preserve"> </w:t>
      </w:r>
      <w:proofErr w:type="spellStart"/>
      <w:r w:rsidRPr="00555F85">
        <w:rPr>
          <w:bCs/>
          <w:noProof w:val="0"/>
          <w:color w:val="0D0D0D"/>
          <w:lang w:val="en-US"/>
        </w:rPr>
        <w:t>circulare</w:t>
      </w:r>
      <w:proofErr w:type="spellEnd"/>
      <w:r w:rsidRPr="00555F85">
        <w:rPr>
          <w:bCs/>
          <w:noProof w:val="0"/>
          <w:color w:val="0D0D0D"/>
          <w:lang w:val="en-US"/>
        </w:rPr>
        <w:t xml:space="preserve"> </w:t>
      </w:r>
      <w:proofErr w:type="spellStart"/>
      <w:r w:rsidRPr="00555F85">
        <w:rPr>
          <w:bCs/>
          <w:noProof w:val="0"/>
          <w:color w:val="0D0D0D"/>
          <w:lang w:val="en-US"/>
        </w:rPr>
        <w:t>sustenabile</w:t>
      </w:r>
      <w:proofErr w:type="spellEnd"/>
      <w:r w:rsidRPr="00555F85">
        <w:rPr>
          <w:bCs/>
          <w:noProof w:val="0"/>
          <w:color w:val="0D0D0D"/>
          <w:lang w:val="en-US"/>
        </w:rPr>
        <w:t>. </w:t>
      </w:r>
    </w:p>
    <w:p w14:paraId="1298FEF3" w14:textId="77777777" w:rsidR="00555F85" w:rsidRPr="00555F85" w:rsidRDefault="00555F85" w:rsidP="00831398">
      <w:pPr>
        <w:spacing w:before="0" w:after="200"/>
        <w:ind w:left="842" w:hanging="540"/>
        <w:rPr>
          <w:bCs/>
          <w:noProof w:val="0"/>
          <w:color w:val="0D0D0D"/>
          <w:lang w:val="en-US"/>
        </w:rPr>
      </w:pPr>
      <w:proofErr w:type="spellStart"/>
      <w:r w:rsidRPr="00555F85">
        <w:rPr>
          <w:bCs/>
          <w:noProof w:val="0"/>
          <w:color w:val="0D0D0D"/>
          <w:lang w:val="en-US"/>
        </w:rPr>
        <w:t>utilizarea</w:t>
      </w:r>
      <w:proofErr w:type="spellEnd"/>
      <w:r w:rsidRPr="00555F85">
        <w:rPr>
          <w:bCs/>
          <w:noProof w:val="0"/>
          <w:color w:val="0D0D0D"/>
          <w:lang w:val="en-US"/>
        </w:rPr>
        <w:t xml:space="preserve"> </w:t>
      </w:r>
      <w:proofErr w:type="spellStart"/>
      <w:r w:rsidRPr="00555F85">
        <w:rPr>
          <w:bCs/>
          <w:noProof w:val="0"/>
          <w:color w:val="0D0D0D"/>
          <w:lang w:val="en-US"/>
        </w:rPr>
        <w:t>biomasei</w:t>
      </w:r>
      <w:proofErr w:type="spellEnd"/>
      <w:r w:rsidRPr="00555F85">
        <w:rPr>
          <w:bCs/>
          <w:noProof w:val="0"/>
          <w:color w:val="0D0D0D"/>
          <w:lang w:val="en-US"/>
        </w:rPr>
        <w:t xml:space="preserve"> </w:t>
      </w:r>
      <w:proofErr w:type="spellStart"/>
      <w:r w:rsidRPr="00555F85">
        <w:rPr>
          <w:bCs/>
          <w:noProof w:val="0"/>
          <w:color w:val="0D0D0D"/>
          <w:lang w:val="en-US"/>
        </w:rPr>
        <w:t>lemnoase</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conformitate</w:t>
      </w:r>
      <w:proofErr w:type="spellEnd"/>
      <w:r w:rsidRPr="00555F85">
        <w:rPr>
          <w:bCs/>
          <w:noProof w:val="0"/>
          <w:color w:val="0D0D0D"/>
          <w:lang w:val="en-US"/>
        </w:rPr>
        <w:t xml:space="preserve"> cu </w:t>
      </w:r>
      <w:proofErr w:type="spellStart"/>
      <w:r w:rsidRPr="00555F85">
        <w:rPr>
          <w:bCs/>
          <w:noProof w:val="0"/>
          <w:color w:val="0D0D0D"/>
          <w:lang w:val="en-US"/>
        </w:rPr>
        <w:t>cea</w:t>
      </w:r>
      <w:proofErr w:type="spellEnd"/>
      <w:r w:rsidRPr="00555F85">
        <w:rPr>
          <w:bCs/>
          <w:noProof w:val="0"/>
          <w:color w:val="0D0D0D"/>
          <w:lang w:val="en-US"/>
        </w:rPr>
        <w:t xml:space="preserve"> </w:t>
      </w:r>
      <w:proofErr w:type="spellStart"/>
      <w:r w:rsidRPr="00555F85">
        <w:rPr>
          <w:bCs/>
          <w:noProof w:val="0"/>
          <w:color w:val="0D0D0D"/>
          <w:lang w:val="en-US"/>
        </w:rPr>
        <w:t>mai</w:t>
      </w:r>
      <w:proofErr w:type="spellEnd"/>
      <w:r w:rsidRPr="00555F85">
        <w:rPr>
          <w:bCs/>
          <w:noProof w:val="0"/>
          <w:color w:val="0D0D0D"/>
          <w:lang w:val="en-US"/>
        </w:rPr>
        <w:t xml:space="preserve"> mare </w:t>
      </w:r>
      <w:proofErr w:type="spellStart"/>
      <w:r w:rsidRPr="00555F85">
        <w:rPr>
          <w:bCs/>
          <w:noProof w:val="0"/>
          <w:color w:val="0D0D0D"/>
          <w:lang w:val="en-US"/>
        </w:rPr>
        <w:t>valoare</w:t>
      </w:r>
      <w:proofErr w:type="spellEnd"/>
      <w:r w:rsidRPr="00555F85">
        <w:rPr>
          <w:bCs/>
          <w:noProof w:val="0"/>
          <w:color w:val="0D0D0D"/>
          <w:lang w:val="en-US"/>
        </w:rPr>
        <w:t xml:space="preserve"> </w:t>
      </w:r>
      <w:proofErr w:type="spellStart"/>
      <w:r w:rsidRPr="00555F85">
        <w:rPr>
          <w:bCs/>
          <w:noProof w:val="0"/>
          <w:color w:val="0D0D0D"/>
          <w:lang w:val="en-US"/>
        </w:rPr>
        <w:t>adăugată</w:t>
      </w:r>
      <w:proofErr w:type="spellEnd"/>
      <w:r w:rsidRPr="00555F85">
        <w:rPr>
          <w:bCs/>
          <w:noProof w:val="0"/>
          <w:color w:val="0D0D0D"/>
          <w:lang w:val="en-US"/>
        </w:rPr>
        <w:t xml:space="preserve"> </w:t>
      </w:r>
      <w:proofErr w:type="spellStart"/>
      <w:r w:rsidRPr="00555F85">
        <w:rPr>
          <w:bCs/>
          <w:noProof w:val="0"/>
          <w:color w:val="0D0D0D"/>
          <w:lang w:val="en-US"/>
        </w:rPr>
        <w:t>economică</w:t>
      </w:r>
      <w:proofErr w:type="spellEnd"/>
      <w:r w:rsidRPr="00555F85">
        <w:rPr>
          <w:bCs/>
          <w:noProof w:val="0"/>
          <w:color w:val="0D0D0D"/>
          <w:lang w:val="en-US"/>
        </w:rPr>
        <w:t xml:space="preserve"> </w:t>
      </w:r>
      <w:proofErr w:type="spellStart"/>
      <w:r w:rsidRPr="00555F85">
        <w:rPr>
          <w:bCs/>
          <w:noProof w:val="0"/>
          <w:color w:val="0D0D0D"/>
          <w:lang w:val="en-US"/>
        </w:rPr>
        <w:t>și</w:t>
      </w:r>
      <w:proofErr w:type="spellEnd"/>
      <w:r w:rsidRPr="00555F85">
        <w:rPr>
          <w:bCs/>
          <w:noProof w:val="0"/>
          <w:color w:val="0D0D0D"/>
          <w:lang w:val="en-US"/>
        </w:rPr>
        <w:t xml:space="preserve"> de </w:t>
      </w:r>
      <w:proofErr w:type="spellStart"/>
      <w:r w:rsidRPr="00555F85">
        <w:rPr>
          <w:bCs/>
          <w:noProof w:val="0"/>
          <w:color w:val="0D0D0D"/>
          <w:lang w:val="en-US"/>
        </w:rPr>
        <w:t>mediu</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următoarea</w:t>
      </w:r>
      <w:proofErr w:type="spellEnd"/>
      <w:r w:rsidRPr="00555F85">
        <w:rPr>
          <w:bCs/>
          <w:noProof w:val="0"/>
          <w:color w:val="0D0D0D"/>
          <w:lang w:val="en-US"/>
        </w:rPr>
        <w:t xml:space="preserve"> </w:t>
      </w:r>
      <w:proofErr w:type="spellStart"/>
      <w:r w:rsidRPr="00555F85">
        <w:rPr>
          <w:bCs/>
          <w:noProof w:val="0"/>
          <w:color w:val="0D0D0D"/>
          <w:lang w:val="en-US"/>
        </w:rPr>
        <w:t>ordine</w:t>
      </w:r>
      <w:proofErr w:type="spellEnd"/>
      <w:r w:rsidRPr="00555F85">
        <w:rPr>
          <w:bCs/>
          <w:noProof w:val="0"/>
          <w:color w:val="0D0D0D"/>
          <w:lang w:val="en-US"/>
        </w:rPr>
        <w:t xml:space="preserve"> a </w:t>
      </w:r>
      <w:proofErr w:type="spellStart"/>
      <w:r w:rsidRPr="00555F85">
        <w:rPr>
          <w:bCs/>
          <w:noProof w:val="0"/>
          <w:color w:val="0D0D0D"/>
          <w:lang w:val="en-US"/>
        </w:rPr>
        <w:t>priorităților</w:t>
      </w:r>
      <w:proofErr w:type="spellEnd"/>
      <w:r w:rsidRPr="00555F85">
        <w:rPr>
          <w:bCs/>
          <w:noProof w:val="0"/>
          <w:color w:val="0D0D0D"/>
          <w:lang w:val="en-US"/>
        </w:rPr>
        <w:t xml:space="preserve">: </w:t>
      </w:r>
      <w:proofErr w:type="spellStart"/>
      <w:r w:rsidRPr="00555F85">
        <w:rPr>
          <w:bCs/>
          <w:noProof w:val="0"/>
          <w:color w:val="0D0D0D"/>
          <w:lang w:val="en-US"/>
        </w:rPr>
        <w:t>produse</w:t>
      </w:r>
      <w:proofErr w:type="spellEnd"/>
      <w:r w:rsidRPr="00555F85">
        <w:rPr>
          <w:bCs/>
          <w:noProof w:val="0"/>
          <w:color w:val="0D0D0D"/>
          <w:lang w:val="en-US"/>
        </w:rPr>
        <w:t xml:space="preserve"> pe </w:t>
      </w:r>
      <w:proofErr w:type="spellStart"/>
      <w:r w:rsidRPr="00555F85">
        <w:rPr>
          <w:bCs/>
          <w:noProof w:val="0"/>
          <w:color w:val="0D0D0D"/>
          <w:lang w:val="en-US"/>
        </w:rPr>
        <w:t>bază</w:t>
      </w:r>
      <w:proofErr w:type="spellEnd"/>
      <w:r w:rsidRPr="00555F85">
        <w:rPr>
          <w:bCs/>
          <w:noProof w:val="0"/>
          <w:color w:val="0D0D0D"/>
          <w:lang w:val="en-US"/>
        </w:rPr>
        <w:t xml:space="preserve"> de </w:t>
      </w:r>
      <w:proofErr w:type="spellStart"/>
      <w:r w:rsidRPr="00555F85">
        <w:rPr>
          <w:bCs/>
          <w:noProof w:val="0"/>
          <w:color w:val="0D0D0D"/>
          <w:lang w:val="en-US"/>
        </w:rPr>
        <w:t>lemn</w:t>
      </w:r>
      <w:proofErr w:type="spellEnd"/>
      <w:r w:rsidRPr="00555F85">
        <w:rPr>
          <w:bCs/>
          <w:noProof w:val="0"/>
          <w:color w:val="0D0D0D"/>
          <w:lang w:val="en-US"/>
        </w:rPr>
        <w:t xml:space="preserve">, </w:t>
      </w:r>
      <w:proofErr w:type="spellStart"/>
      <w:r w:rsidRPr="00555F85">
        <w:rPr>
          <w:bCs/>
          <w:noProof w:val="0"/>
          <w:color w:val="0D0D0D"/>
          <w:lang w:val="en-US"/>
        </w:rPr>
        <w:t>prelungirea</w:t>
      </w:r>
      <w:proofErr w:type="spellEnd"/>
      <w:r w:rsidRPr="00555F85">
        <w:rPr>
          <w:bCs/>
          <w:noProof w:val="0"/>
          <w:color w:val="0D0D0D"/>
          <w:lang w:val="en-US"/>
        </w:rPr>
        <w:t xml:space="preserve"> </w:t>
      </w:r>
      <w:proofErr w:type="spellStart"/>
      <w:r w:rsidRPr="00555F85">
        <w:rPr>
          <w:bCs/>
          <w:noProof w:val="0"/>
          <w:color w:val="0D0D0D"/>
          <w:lang w:val="en-US"/>
        </w:rPr>
        <w:t>duratei</w:t>
      </w:r>
      <w:proofErr w:type="spellEnd"/>
      <w:r w:rsidRPr="00555F85">
        <w:rPr>
          <w:bCs/>
          <w:noProof w:val="0"/>
          <w:color w:val="0D0D0D"/>
          <w:lang w:val="en-US"/>
        </w:rPr>
        <w:t xml:space="preserve"> de </w:t>
      </w:r>
      <w:proofErr w:type="spellStart"/>
      <w:r w:rsidRPr="00555F85">
        <w:rPr>
          <w:bCs/>
          <w:noProof w:val="0"/>
          <w:color w:val="0D0D0D"/>
          <w:lang w:val="en-US"/>
        </w:rPr>
        <w:t>viață</w:t>
      </w:r>
      <w:proofErr w:type="spellEnd"/>
      <w:r w:rsidRPr="00555F85">
        <w:rPr>
          <w:bCs/>
          <w:noProof w:val="0"/>
          <w:color w:val="0D0D0D"/>
          <w:lang w:val="en-US"/>
        </w:rPr>
        <w:t xml:space="preserve"> a </w:t>
      </w:r>
      <w:proofErr w:type="spellStart"/>
      <w:r w:rsidRPr="00555F85">
        <w:rPr>
          <w:bCs/>
          <w:noProof w:val="0"/>
          <w:color w:val="0D0D0D"/>
          <w:lang w:val="en-US"/>
        </w:rPr>
        <w:t>produselor</w:t>
      </w:r>
      <w:proofErr w:type="spellEnd"/>
      <w:r w:rsidRPr="00555F85">
        <w:rPr>
          <w:bCs/>
          <w:noProof w:val="0"/>
          <w:color w:val="0D0D0D"/>
          <w:lang w:val="en-US"/>
        </w:rPr>
        <w:t xml:space="preserve"> pe </w:t>
      </w:r>
      <w:proofErr w:type="spellStart"/>
      <w:r w:rsidRPr="00555F85">
        <w:rPr>
          <w:bCs/>
          <w:noProof w:val="0"/>
          <w:color w:val="0D0D0D"/>
          <w:lang w:val="en-US"/>
        </w:rPr>
        <w:t>bază</w:t>
      </w:r>
      <w:proofErr w:type="spellEnd"/>
      <w:r w:rsidRPr="00555F85">
        <w:rPr>
          <w:bCs/>
          <w:noProof w:val="0"/>
          <w:color w:val="0D0D0D"/>
          <w:lang w:val="en-US"/>
        </w:rPr>
        <w:t xml:space="preserve"> de </w:t>
      </w:r>
      <w:proofErr w:type="spellStart"/>
      <w:r w:rsidRPr="00555F85">
        <w:rPr>
          <w:bCs/>
          <w:noProof w:val="0"/>
          <w:color w:val="0D0D0D"/>
          <w:lang w:val="en-US"/>
        </w:rPr>
        <w:t>lemn</w:t>
      </w:r>
      <w:proofErr w:type="spellEnd"/>
      <w:r w:rsidRPr="00555F85">
        <w:rPr>
          <w:bCs/>
          <w:noProof w:val="0"/>
          <w:color w:val="0D0D0D"/>
          <w:lang w:val="en-US"/>
        </w:rPr>
        <w:t xml:space="preserve">, </w:t>
      </w:r>
      <w:proofErr w:type="spellStart"/>
      <w:r w:rsidRPr="00555F85">
        <w:rPr>
          <w:bCs/>
          <w:noProof w:val="0"/>
          <w:color w:val="0D0D0D"/>
          <w:lang w:val="en-US"/>
        </w:rPr>
        <w:t>reutilizare</w:t>
      </w:r>
      <w:proofErr w:type="spellEnd"/>
      <w:r w:rsidRPr="00555F85">
        <w:rPr>
          <w:bCs/>
          <w:noProof w:val="0"/>
          <w:color w:val="0D0D0D"/>
          <w:lang w:val="en-US"/>
        </w:rPr>
        <w:t xml:space="preserve">, </w:t>
      </w:r>
      <w:proofErr w:type="spellStart"/>
      <w:r w:rsidRPr="00555F85">
        <w:rPr>
          <w:bCs/>
          <w:noProof w:val="0"/>
          <w:color w:val="0D0D0D"/>
          <w:lang w:val="en-US"/>
        </w:rPr>
        <w:t>reciclare</w:t>
      </w:r>
      <w:proofErr w:type="spellEnd"/>
      <w:r w:rsidRPr="00555F85">
        <w:rPr>
          <w:bCs/>
          <w:noProof w:val="0"/>
          <w:color w:val="0D0D0D"/>
          <w:lang w:val="en-US"/>
        </w:rPr>
        <w:t xml:space="preserve">, </w:t>
      </w:r>
      <w:proofErr w:type="spellStart"/>
      <w:r w:rsidRPr="00555F85">
        <w:rPr>
          <w:bCs/>
          <w:noProof w:val="0"/>
          <w:color w:val="0D0D0D"/>
          <w:lang w:val="en-US"/>
        </w:rPr>
        <w:t>bioenergie</w:t>
      </w:r>
      <w:proofErr w:type="spellEnd"/>
      <w:r w:rsidRPr="00555F85">
        <w:rPr>
          <w:bCs/>
          <w:noProof w:val="0"/>
          <w:color w:val="0D0D0D"/>
          <w:lang w:val="en-US"/>
        </w:rPr>
        <w:t xml:space="preserve"> </w:t>
      </w:r>
      <w:proofErr w:type="spellStart"/>
      <w:r w:rsidRPr="00555F85">
        <w:rPr>
          <w:bCs/>
          <w:noProof w:val="0"/>
          <w:color w:val="0D0D0D"/>
          <w:lang w:val="en-US"/>
        </w:rPr>
        <w:t>și</w:t>
      </w:r>
      <w:proofErr w:type="spellEnd"/>
      <w:r w:rsidRPr="00555F85">
        <w:rPr>
          <w:bCs/>
          <w:noProof w:val="0"/>
          <w:color w:val="0D0D0D"/>
          <w:lang w:val="en-US"/>
        </w:rPr>
        <w:t xml:space="preserve"> </w:t>
      </w:r>
      <w:proofErr w:type="spellStart"/>
      <w:r w:rsidRPr="00555F85">
        <w:rPr>
          <w:bCs/>
          <w:noProof w:val="0"/>
          <w:color w:val="0D0D0D"/>
          <w:lang w:val="en-US"/>
        </w:rPr>
        <w:t>eliminare</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cazul</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care </w:t>
      </w:r>
      <w:proofErr w:type="spellStart"/>
      <w:r w:rsidRPr="00555F85">
        <w:rPr>
          <w:bCs/>
          <w:noProof w:val="0"/>
          <w:color w:val="0D0D0D"/>
          <w:lang w:val="en-US"/>
        </w:rPr>
        <w:t>nicio</w:t>
      </w:r>
      <w:proofErr w:type="spellEnd"/>
      <w:r w:rsidRPr="00555F85">
        <w:rPr>
          <w:bCs/>
          <w:noProof w:val="0"/>
          <w:color w:val="0D0D0D"/>
          <w:lang w:val="en-US"/>
        </w:rPr>
        <w:t xml:space="preserve"> </w:t>
      </w:r>
      <w:proofErr w:type="spellStart"/>
      <w:r w:rsidRPr="00555F85">
        <w:rPr>
          <w:bCs/>
          <w:noProof w:val="0"/>
          <w:color w:val="0D0D0D"/>
          <w:lang w:val="en-US"/>
        </w:rPr>
        <w:t>altă</w:t>
      </w:r>
      <w:proofErr w:type="spellEnd"/>
      <w:r w:rsidRPr="00555F85">
        <w:rPr>
          <w:bCs/>
          <w:noProof w:val="0"/>
          <w:color w:val="0D0D0D"/>
          <w:lang w:val="en-US"/>
        </w:rPr>
        <w:t xml:space="preserve"> </w:t>
      </w:r>
      <w:proofErr w:type="spellStart"/>
      <w:r w:rsidRPr="00555F85">
        <w:rPr>
          <w:bCs/>
          <w:noProof w:val="0"/>
          <w:color w:val="0D0D0D"/>
          <w:lang w:val="en-US"/>
        </w:rPr>
        <w:t>utilizare</w:t>
      </w:r>
      <w:proofErr w:type="spellEnd"/>
      <w:r w:rsidRPr="00555F85">
        <w:rPr>
          <w:bCs/>
          <w:noProof w:val="0"/>
          <w:color w:val="0D0D0D"/>
          <w:lang w:val="en-US"/>
        </w:rPr>
        <w:t xml:space="preserve"> a </w:t>
      </w:r>
      <w:proofErr w:type="spellStart"/>
      <w:r w:rsidRPr="00555F85">
        <w:rPr>
          <w:bCs/>
          <w:noProof w:val="0"/>
          <w:color w:val="0D0D0D"/>
          <w:lang w:val="en-US"/>
        </w:rPr>
        <w:t>biomasei</w:t>
      </w:r>
      <w:proofErr w:type="spellEnd"/>
      <w:r w:rsidRPr="00555F85">
        <w:rPr>
          <w:bCs/>
          <w:noProof w:val="0"/>
          <w:color w:val="0D0D0D"/>
          <w:lang w:val="en-US"/>
        </w:rPr>
        <w:t xml:space="preserve"> </w:t>
      </w:r>
      <w:proofErr w:type="spellStart"/>
      <w:r w:rsidRPr="00555F85">
        <w:rPr>
          <w:bCs/>
          <w:noProof w:val="0"/>
          <w:color w:val="0D0D0D"/>
          <w:lang w:val="en-US"/>
        </w:rPr>
        <w:t>lemnoase</w:t>
      </w:r>
      <w:proofErr w:type="spellEnd"/>
      <w:r w:rsidRPr="00555F85">
        <w:rPr>
          <w:bCs/>
          <w:noProof w:val="0"/>
          <w:color w:val="0D0D0D"/>
          <w:lang w:val="en-US"/>
        </w:rPr>
        <w:t xml:space="preserve"> nu </w:t>
      </w:r>
      <w:proofErr w:type="spellStart"/>
      <w:r w:rsidRPr="00555F85">
        <w:rPr>
          <w:bCs/>
          <w:noProof w:val="0"/>
          <w:color w:val="0D0D0D"/>
          <w:lang w:val="en-US"/>
        </w:rPr>
        <w:t>este</w:t>
      </w:r>
      <w:proofErr w:type="spellEnd"/>
      <w:r w:rsidRPr="00555F85">
        <w:rPr>
          <w:bCs/>
          <w:noProof w:val="0"/>
          <w:color w:val="0D0D0D"/>
          <w:lang w:val="en-US"/>
        </w:rPr>
        <w:t xml:space="preserve"> </w:t>
      </w:r>
      <w:proofErr w:type="spellStart"/>
      <w:r w:rsidRPr="00555F85">
        <w:rPr>
          <w:bCs/>
          <w:noProof w:val="0"/>
          <w:color w:val="0D0D0D"/>
          <w:lang w:val="en-US"/>
        </w:rPr>
        <w:t>viabilă</w:t>
      </w:r>
      <w:proofErr w:type="spellEnd"/>
      <w:r w:rsidRPr="00555F85">
        <w:rPr>
          <w:bCs/>
          <w:noProof w:val="0"/>
          <w:color w:val="0D0D0D"/>
          <w:lang w:val="en-US"/>
        </w:rPr>
        <w:t xml:space="preserve"> din </w:t>
      </w:r>
      <w:proofErr w:type="spellStart"/>
      <w:r w:rsidRPr="00555F85">
        <w:rPr>
          <w:bCs/>
          <w:noProof w:val="0"/>
          <w:color w:val="0D0D0D"/>
          <w:lang w:val="en-US"/>
        </w:rPr>
        <w:t>punct</w:t>
      </w:r>
      <w:proofErr w:type="spellEnd"/>
      <w:r w:rsidRPr="00555F85">
        <w:rPr>
          <w:bCs/>
          <w:noProof w:val="0"/>
          <w:color w:val="0D0D0D"/>
          <w:lang w:val="en-US"/>
        </w:rPr>
        <w:t xml:space="preserve"> de </w:t>
      </w:r>
      <w:proofErr w:type="spellStart"/>
      <w:r w:rsidRPr="00555F85">
        <w:rPr>
          <w:bCs/>
          <w:noProof w:val="0"/>
          <w:color w:val="0D0D0D"/>
          <w:lang w:val="en-US"/>
        </w:rPr>
        <w:t>vedere</w:t>
      </w:r>
      <w:proofErr w:type="spellEnd"/>
      <w:r w:rsidRPr="00555F85">
        <w:rPr>
          <w:bCs/>
          <w:noProof w:val="0"/>
          <w:color w:val="0D0D0D"/>
          <w:lang w:val="en-US"/>
        </w:rPr>
        <w:t xml:space="preserve"> economic </w:t>
      </w:r>
      <w:proofErr w:type="spellStart"/>
      <w:r w:rsidRPr="00555F85">
        <w:rPr>
          <w:bCs/>
          <w:noProof w:val="0"/>
          <w:color w:val="0D0D0D"/>
          <w:lang w:val="en-US"/>
        </w:rPr>
        <w:t>sau</w:t>
      </w:r>
      <w:proofErr w:type="spellEnd"/>
      <w:r w:rsidRPr="00555F85">
        <w:rPr>
          <w:bCs/>
          <w:noProof w:val="0"/>
          <w:color w:val="0D0D0D"/>
          <w:lang w:val="en-US"/>
        </w:rPr>
        <w:t xml:space="preserve"> </w:t>
      </w:r>
      <w:proofErr w:type="spellStart"/>
      <w:r w:rsidRPr="00555F85">
        <w:rPr>
          <w:bCs/>
          <w:noProof w:val="0"/>
          <w:color w:val="0D0D0D"/>
          <w:lang w:val="en-US"/>
        </w:rPr>
        <w:t>potrivită</w:t>
      </w:r>
      <w:proofErr w:type="spellEnd"/>
      <w:r w:rsidRPr="00555F85">
        <w:rPr>
          <w:bCs/>
          <w:noProof w:val="0"/>
          <w:color w:val="0D0D0D"/>
          <w:lang w:val="en-US"/>
        </w:rPr>
        <w:t xml:space="preserve"> din </w:t>
      </w:r>
      <w:proofErr w:type="spellStart"/>
      <w:r w:rsidRPr="00555F85">
        <w:rPr>
          <w:bCs/>
          <w:noProof w:val="0"/>
          <w:color w:val="0D0D0D"/>
          <w:lang w:val="en-US"/>
        </w:rPr>
        <w:t>punctul</w:t>
      </w:r>
      <w:proofErr w:type="spellEnd"/>
      <w:r w:rsidRPr="00555F85">
        <w:rPr>
          <w:bCs/>
          <w:noProof w:val="0"/>
          <w:color w:val="0D0D0D"/>
          <w:lang w:val="en-US"/>
        </w:rPr>
        <w:t xml:space="preserve"> de </w:t>
      </w:r>
      <w:proofErr w:type="spellStart"/>
      <w:r w:rsidRPr="00555F85">
        <w:rPr>
          <w:bCs/>
          <w:noProof w:val="0"/>
          <w:color w:val="0D0D0D"/>
          <w:lang w:val="en-US"/>
        </w:rPr>
        <w:t>vedere</w:t>
      </w:r>
      <w:proofErr w:type="spellEnd"/>
      <w:r w:rsidRPr="00555F85">
        <w:rPr>
          <w:bCs/>
          <w:noProof w:val="0"/>
          <w:color w:val="0D0D0D"/>
          <w:lang w:val="en-US"/>
        </w:rPr>
        <w:t xml:space="preserve"> al </w:t>
      </w:r>
      <w:proofErr w:type="spellStart"/>
      <w:r w:rsidRPr="00555F85">
        <w:rPr>
          <w:bCs/>
          <w:noProof w:val="0"/>
          <w:color w:val="0D0D0D"/>
          <w:lang w:val="en-US"/>
        </w:rPr>
        <w:t>mediului</w:t>
      </w:r>
      <w:proofErr w:type="spellEnd"/>
      <w:r w:rsidRPr="00555F85">
        <w:rPr>
          <w:bCs/>
          <w:noProof w:val="0"/>
          <w:color w:val="0D0D0D"/>
          <w:lang w:val="en-US"/>
        </w:rPr>
        <w:t xml:space="preserve">, </w:t>
      </w:r>
      <w:proofErr w:type="spellStart"/>
      <w:r w:rsidRPr="00555F85">
        <w:rPr>
          <w:bCs/>
          <w:noProof w:val="0"/>
          <w:color w:val="0D0D0D"/>
          <w:lang w:val="en-US"/>
        </w:rPr>
        <w:t>recuperarea</w:t>
      </w:r>
      <w:proofErr w:type="spellEnd"/>
      <w:r w:rsidRPr="00555F85">
        <w:rPr>
          <w:bCs/>
          <w:noProof w:val="0"/>
          <w:color w:val="0D0D0D"/>
          <w:lang w:val="en-US"/>
        </w:rPr>
        <w:t xml:space="preserve"> </w:t>
      </w:r>
      <w:proofErr w:type="spellStart"/>
      <w:r w:rsidRPr="00555F85">
        <w:rPr>
          <w:bCs/>
          <w:noProof w:val="0"/>
          <w:color w:val="0D0D0D"/>
          <w:lang w:val="en-US"/>
        </w:rPr>
        <w:t>energiei</w:t>
      </w:r>
      <w:proofErr w:type="spellEnd"/>
      <w:r w:rsidRPr="00555F85">
        <w:rPr>
          <w:bCs/>
          <w:noProof w:val="0"/>
          <w:color w:val="0D0D0D"/>
          <w:lang w:val="en-US"/>
        </w:rPr>
        <w:t xml:space="preserve"> </w:t>
      </w:r>
      <w:proofErr w:type="spellStart"/>
      <w:r w:rsidRPr="00555F85">
        <w:rPr>
          <w:bCs/>
          <w:noProof w:val="0"/>
          <w:color w:val="0D0D0D"/>
          <w:lang w:val="en-US"/>
        </w:rPr>
        <w:t>contribuie</w:t>
      </w:r>
      <w:proofErr w:type="spellEnd"/>
      <w:r w:rsidRPr="00555F85">
        <w:rPr>
          <w:bCs/>
          <w:noProof w:val="0"/>
          <w:color w:val="0D0D0D"/>
          <w:lang w:val="en-US"/>
        </w:rPr>
        <w:t xml:space="preserve"> la </w:t>
      </w:r>
      <w:proofErr w:type="spellStart"/>
      <w:r w:rsidRPr="00555F85">
        <w:rPr>
          <w:bCs/>
          <w:noProof w:val="0"/>
          <w:color w:val="0D0D0D"/>
          <w:lang w:val="en-US"/>
        </w:rPr>
        <w:t>reducerea</w:t>
      </w:r>
      <w:proofErr w:type="spellEnd"/>
      <w:r w:rsidRPr="00555F85">
        <w:rPr>
          <w:bCs/>
          <w:noProof w:val="0"/>
          <w:color w:val="0D0D0D"/>
          <w:lang w:val="en-US"/>
        </w:rPr>
        <w:t xml:space="preserve"> </w:t>
      </w:r>
      <w:proofErr w:type="spellStart"/>
      <w:r w:rsidRPr="00555F85">
        <w:rPr>
          <w:bCs/>
          <w:noProof w:val="0"/>
          <w:color w:val="0D0D0D"/>
          <w:lang w:val="en-US"/>
        </w:rPr>
        <w:t>producției</w:t>
      </w:r>
      <w:proofErr w:type="spellEnd"/>
      <w:r w:rsidRPr="00555F85">
        <w:rPr>
          <w:bCs/>
          <w:noProof w:val="0"/>
          <w:color w:val="0D0D0D"/>
          <w:lang w:val="en-US"/>
        </w:rPr>
        <w:t xml:space="preserve"> de </w:t>
      </w:r>
      <w:proofErr w:type="spellStart"/>
      <w:r w:rsidRPr="00555F85">
        <w:rPr>
          <w:bCs/>
          <w:noProof w:val="0"/>
          <w:color w:val="0D0D0D"/>
          <w:lang w:val="en-US"/>
        </w:rPr>
        <w:t>energie</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neregenerabile</w:t>
      </w:r>
      <w:proofErr w:type="spellEnd"/>
      <w:r w:rsidRPr="00555F85">
        <w:rPr>
          <w:bCs/>
          <w:noProof w:val="0"/>
          <w:color w:val="0D0D0D"/>
          <w:lang w:val="en-US"/>
        </w:rPr>
        <w:t>.</w:t>
      </w:r>
    </w:p>
    <w:p w14:paraId="12797B49" w14:textId="77777777" w:rsidR="00555F85" w:rsidRPr="00555F85" w:rsidRDefault="00555F85" w:rsidP="00831398">
      <w:pPr>
        <w:spacing w:before="0" w:after="200"/>
        <w:ind w:left="842" w:hanging="540"/>
        <w:rPr>
          <w:bCs/>
          <w:noProof w:val="0"/>
          <w:color w:val="0D0D0D"/>
          <w:lang w:val="en-US"/>
        </w:rPr>
      </w:pPr>
      <w:proofErr w:type="spellStart"/>
      <w:r w:rsidRPr="00555F85">
        <w:rPr>
          <w:bCs/>
          <w:noProof w:val="0"/>
          <w:color w:val="0D0D0D"/>
          <w:lang w:val="en-US"/>
        </w:rPr>
        <w:t>amenajarea</w:t>
      </w:r>
      <w:proofErr w:type="spellEnd"/>
      <w:r w:rsidRPr="00555F85">
        <w:rPr>
          <w:bCs/>
          <w:noProof w:val="0"/>
          <w:color w:val="0D0D0D"/>
          <w:lang w:val="en-US"/>
        </w:rPr>
        <w:t xml:space="preserve"> </w:t>
      </w:r>
      <w:proofErr w:type="spellStart"/>
      <w:r w:rsidRPr="00555F85">
        <w:rPr>
          <w:bCs/>
          <w:noProof w:val="0"/>
          <w:color w:val="0D0D0D"/>
          <w:lang w:val="en-US"/>
        </w:rPr>
        <w:t>spațiului</w:t>
      </w:r>
      <w:proofErr w:type="spellEnd"/>
      <w:r w:rsidRPr="00555F85">
        <w:rPr>
          <w:bCs/>
          <w:noProof w:val="0"/>
          <w:color w:val="0D0D0D"/>
          <w:lang w:val="en-US"/>
        </w:rPr>
        <w:t xml:space="preserve"> </w:t>
      </w:r>
      <w:proofErr w:type="spellStart"/>
      <w:r w:rsidRPr="00555F85">
        <w:rPr>
          <w:bCs/>
          <w:noProof w:val="0"/>
          <w:color w:val="0D0D0D"/>
          <w:lang w:val="en-US"/>
        </w:rPr>
        <w:t>maritim</w:t>
      </w:r>
      <w:proofErr w:type="spellEnd"/>
      <w:r w:rsidRPr="00555F85">
        <w:rPr>
          <w:bCs/>
          <w:noProof w:val="0"/>
          <w:color w:val="0D0D0D"/>
          <w:lang w:val="en-US"/>
        </w:rPr>
        <w:t xml:space="preserve"> </w:t>
      </w:r>
      <w:proofErr w:type="spellStart"/>
      <w:r w:rsidRPr="00555F85">
        <w:rPr>
          <w:bCs/>
          <w:noProof w:val="0"/>
          <w:color w:val="0D0D0D"/>
          <w:lang w:val="en-US"/>
        </w:rPr>
        <w:t>pentru</w:t>
      </w:r>
      <w:proofErr w:type="spellEnd"/>
      <w:r w:rsidRPr="00555F85">
        <w:rPr>
          <w:bCs/>
          <w:noProof w:val="0"/>
          <w:color w:val="0D0D0D"/>
          <w:lang w:val="en-US"/>
        </w:rPr>
        <w:t xml:space="preserve"> </w:t>
      </w:r>
      <w:proofErr w:type="spellStart"/>
      <w:r w:rsidRPr="00555F85">
        <w:rPr>
          <w:bCs/>
          <w:noProof w:val="0"/>
          <w:color w:val="0D0D0D"/>
          <w:lang w:val="en-US"/>
        </w:rPr>
        <w:t>proiectele</w:t>
      </w:r>
      <w:proofErr w:type="spellEnd"/>
      <w:r w:rsidRPr="00555F85">
        <w:rPr>
          <w:bCs/>
          <w:noProof w:val="0"/>
          <w:color w:val="0D0D0D"/>
          <w:lang w:val="en-US"/>
        </w:rPr>
        <w:t xml:space="preserve"> </w:t>
      </w:r>
      <w:proofErr w:type="spellStart"/>
      <w:r w:rsidRPr="00555F85">
        <w:rPr>
          <w:bCs/>
          <w:noProof w:val="0"/>
          <w:color w:val="0D0D0D"/>
          <w:lang w:val="en-US"/>
        </w:rPr>
        <w:t>privind</w:t>
      </w:r>
      <w:proofErr w:type="spellEnd"/>
      <w:r w:rsidRPr="00555F85">
        <w:rPr>
          <w:bCs/>
          <w:noProof w:val="0"/>
          <w:color w:val="0D0D0D"/>
          <w:lang w:val="en-US"/>
        </w:rPr>
        <w:t xml:space="preserve"> </w:t>
      </w:r>
      <w:proofErr w:type="spellStart"/>
      <w:r w:rsidRPr="00555F85">
        <w:rPr>
          <w:bCs/>
          <w:noProof w:val="0"/>
          <w:color w:val="0D0D0D"/>
          <w:lang w:val="en-US"/>
        </w:rPr>
        <w:t>energia</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offshore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cadrul</w:t>
      </w:r>
      <w:proofErr w:type="spellEnd"/>
      <w:r w:rsidRPr="00555F85">
        <w:rPr>
          <w:bCs/>
          <w:noProof w:val="0"/>
          <w:color w:val="0D0D0D"/>
          <w:lang w:val="en-US"/>
        </w:rPr>
        <w:t xml:space="preserve"> </w:t>
      </w:r>
      <w:proofErr w:type="spellStart"/>
      <w:r w:rsidRPr="00555F85">
        <w:rPr>
          <w:bCs/>
          <w:noProof w:val="0"/>
          <w:color w:val="0D0D0D"/>
          <w:lang w:val="en-US"/>
        </w:rPr>
        <w:t>planurilor</w:t>
      </w:r>
      <w:proofErr w:type="spellEnd"/>
      <w:r w:rsidRPr="00555F85">
        <w:rPr>
          <w:bCs/>
          <w:noProof w:val="0"/>
          <w:color w:val="0D0D0D"/>
          <w:lang w:val="en-US"/>
        </w:rPr>
        <w:t xml:space="preserve"> de </w:t>
      </w:r>
      <w:proofErr w:type="spellStart"/>
      <w:r w:rsidRPr="00555F85">
        <w:rPr>
          <w:bCs/>
          <w:noProof w:val="0"/>
          <w:color w:val="0D0D0D"/>
          <w:lang w:val="en-US"/>
        </w:rPr>
        <w:t>amenajare</w:t>
      </w:r>
      <w:proofErr w:type="spellEnd"/>
      <w:r w:rsidRPr="00555F85">
        <w:rPr>
          <w:bCs/>
          <w:noProof w:val="0"/>
          <w:color w:val="0D0D0D"/>
          <w:lang w:val="en-US"/>
        </w:rPr>
        <w:t xml:space="preserve"> a </w:t>
      </w:r>
      <w:proofErr w:type="spellStart"/>
      <w:r w:rsidRPr="00555F85">
        <w:rPr>
          <w:bCs/>
          <w:noProof w:val="0"/>
          <w:color w:val="0D0D0D"/>
          <w:lang w:val="en-US"/>
        </w:rPr>
        <w:t>spațiului</w:t>
      </w:r>
      <w:proofErr w:type="spellEnd"/>
      <w:r w:rsidRPr="00555F85">
        <w:rPr>
          <w:bCs/>
          <w:noProof w:val="0"/>
          <w:color w:val="0D0D0D"/>
          <w:lang w:val="en-US"/>
        </w:rPr>
        <w:t xml:space="preserve"> </w:t>
      </w:r>
      <w:proofErr w:type="spellStart"/>
      <w:r w:rsidRPr="00555F85">
        <w:rPr>
          <w:bCs/>
          <w:noProof w:val="0"/>
          <w:color w:val="0D0D0D"/>
          <w:lang w:val="en-US"/>
        </w:rPr>
        <w:t>maritim</w:t>
      </w:r>
      <w:proofErr w:type="spellEnd"/>
      <w:r w:rsidRPr="00555F85">
        <w:rPr>
          <w:bCs/>
          <w:noProof w:val="0"/>
          <w:color w:val="0D0D0D"/>
          <w:lang w:val="en-US"/>
        </w:rPr>
        <w:t xml:space="preserve"> </w:t>
      </w:r>
      <w:proofErr w:type="spellStart"/>
      <w:r w:rsidRPr="00555F85">
        <w:rPr>
          <w:bCs/>
          <w:noProof w:val="0"/>
          <w:color w:val="0D0D0D"/>
          <w:lang w:val="en-US"/>
        </w:rPr>
        <w:t>pentru</w:t>
      </w:r>
      <w:proofErr w:type="spellEnd"/>
      <w:r w:rsidRPr="00555F85">
        <w:rPr>
          <w:bCs/>
          <w:noProof w:val="0"/>
          <w:color w:val="0D0D0D"/>
          <w:lang w:val="en-US"/>
        </w:rPr>
        <w:t xml:space="preserve"> a </w:t>
      </w:r>
      <w:proofErr w:type="spellStart"/>
      <w:r w:rsidRPr="00555F85">
        <w:rPr>
          <w:bCs/>
          <w:noProof w:val="0"/>
          <w:color w:val="0D0D0D"/>
          <w:lang w:val="en-US"/>
        </w:rPr>
        <w:t>permite</w:t>
      </w:r>
      <w:proofErr w:type="spellEnd"/>
      <w:r w:rsidRPr="00555F85">
        <w:rPr>
          <w:bCs/>
          <w:noProof w:val="0"/>
          <w:color w:val="0D0D0D"/>
          <w:lang w:val="en-US"/>
        </w:rPr>
        <w:t xml:space="preserve"> </w:t>
      </w:r>
      <w:proofErr w:type="spellStart"/>
      <w:r w:rsidRPr="00555F85">
        <w:rPr>
          <w:bCs/>
          <w:noProof w:val="0"/>
          <w:color w:val="0D0D0D"/>
          <w:lang w:val="en-US"/>
        </w:rPr>
        <w:t>planificarea</w:t>
      </w:r>
      <w:proofErr w:type="spellEnd"/>
      <w:r w:rsidRPr="00555F85">
        <w:rPr>
          <w:bCs/>
          <w:noProof w:val="0"/>
          <w:color w:val="0D0D0D"/>
          <w:lang w:val="en-US"/>
        </w:rPr>
        <w:t xml:space="preserve"> pe termen lung, </w:t>
      </w:r>
      <w:proofErr w:type="spellStart"/>
      <w:r w:rsidRPr="00555F85">
        <w:rPr>
          <w:bCs/>
          <w:noProof w:val="0"/>
          <w:color w:val="0D0D0D"/>
          <w:lang w:val="en-US"/>
        </w:rPr>
        <w:t>evaluarea</w:t>
      </w:r>
      <w:proofErr w:type="spellEnd"/>
      <w:r w:rsidRPr="00555F85">
        <w:rPr>
          <w:bCs/>
          <w:noProof w:val="0"/>
          <w:color w:val="0D0D0D"/>
          <w:lang w:val="en-US"/>
        </w:rPr>
        <w:t xml:space="preserve"> </w:t>
      </w:r>
      <w:proofErr w:type="spellStart"/>
      <w:r w:rsidRPr="00555F85">
        <w:rPr>
          <w:bCs/>
          <w:noProof w:val="0"/>
          <w:color w:val="0D0D0D"/>
          <w:lang w:val="en-US"/>
        </w:rPr>
        <w:t>impactului</w:t>
      </w:r>
      <w:proofErr w:type="spellEnd"/>
      <w:r w:rsidRPr="00555F85">
        <w:rPr>
          <w:bCs/>
          <w:noProof w:val="0"/>
          <w:color w:val="0D0D0D"/>
          <w:lang w:val="en-US"/>
        </w:rPr>
        <w:t xml:space="preserve"> </w:t>
      </w:r>
      <w:proofErr w:type="spellStart"/>
      <w:r w:rsidRPr="00555F85">
        <w:rPr>
          <w:bCs/>
          <w:noProof w:val="0"/>
          <w:color w:val="0D0D0D"/>
          <w:lang w:val="en-US"/>
        </w:rPr>
        <w:t>respectivelor</w:t>
      </w:r>
      <w:proofErr w:type="spellEnd"/>
      <w:r w:rsidRPr="00555F85">
        <w:rPr>
          <w:bCs/>
          <w:noProof w:val="0"/>
          <w:color w:val="0D0D0D"/>
          <w:lang w:val="en-US"/>
        </w:rPr>
        <w:t xml:space="preserve"> </w:t>
      </w:r>
      <w:proofErr w:type="spellStart"/>
      <w:r w:rsidRPr="00555F85">
        <w:rPr>
          <w:bCs/>
          <w:noProof w:val="0"/>
          <w:color w:val="0D0D0D"/>
          <w:lang w:val="en-US"/>
        </w:rPr>
        <w:t>proiecte</w:t>
      </w:r>
      <w:proofErr w:type="spellEnd"/>
      <w:r w:rsidRPr="00555F85">
        <w:rPr>
          <w:bCs/>
          <w:noProof w:val="0"/>
          <w:color w:val="0D0D0D"/>
          <w:lang w:val="en-US"/>
        </w:rPr>
        <w:t xml:space="preserve"> </w:t>
      </w:r>
      <w:proofErr w:type="spellStart"/>
      <w:r w:rsidRPr="00555F85">
        <w:rPr>
          <w:bCs/>
          <w:noProof w:val="0"/>
          <w:color w:val="0D0D0D"/>
          <w:lang w:val="en-US"/>
        </w:rPr>
        <w:t>privind</w:t>
      </w:r>
      <w:proofErr w:type="spellEnd"/>
      <w:r w:rsidRPr="00555F85">
        <w:rPr>
          <w:bCs/>
          <w:noProof w:val="0"/>
          <w:color w:val="0D0D0D"/>
          <w:lang w:val="en-US"/>
        </w:rPr>
        <w:t xml:space="preserve"> </w:t>
      </w:r>
      <w:proofErr w:type="spellStart"/>
      <w:r w:rsidRPr="00555F85">
        <w:rPr>
          <w:bCs/>
          <w:noProof w:val="0"/>
          <w:color w:val="0D0D0D"/>
          <w:lang w:val="en-US"/>
        </w:rPr>
        <w:t>energia</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w:t>
      </w:r>
      <w:proofErr w:type="spellStart"/>
      <w:r w:rsidRPr="00555F85">
        <w:rPr>
          <w:bCs/>
          <w:noProof w:val="0"/>
          <w:color w:val="0D0D0D"/>
          <w:lang w:val="en-US"/>
        </w:rPr>
        <w:t>și</w:t>
      </w:r>
      <w:proofErr w:type="spellEnd"/>
      <w:r w:rsidRPr="00555F85">
        <w:rPr>
          <w:bCs/>
          <w:noProof w:val="0"/>
          <w:color w:val="0D0D0D"/>
          <w:lang w:val="en-US"/>
        </w:rPr>
        <w:t xml:space="preserve"> </w:t>
      </w:r>
      <w:proofErr w:type="spellStart"/>
      <w:r w:rsidRPr="00555F85">
        <w:rPr>
          <w:bCs/>
          <w:noProof w:val="0"/>
          <w:color w:val="0D0D0D"/>
          <w:lang w:val="en-US"/>
        </w:rPr>
        <w:t>asigurarea</w:t>
      </w:r>
      <w:proofErr w:type="spellEnd"/>
      <w:r w:rsidRPr="00555F85">
        <w:rPr>
          <w:bCs/>
          <w:noProof w:val="0"/>
          <w:color w:val="0D0D0D"/>
          <w:lang w:val="en-US"/>
        </w:rPr>
        <w:t xml:space="preserve"> </w:t>
      </w:r>
      <w:proofErr w:type="spellStart"/>
      <w:r w:rsidRPr="00555F85">
        <w:rPr>
          <w:bCs/>
          <w:noProof w:val="0"/>
          <w:color w:val="0D0D0D"/>
          <w:lang w:val="en-US"/>
        </w:rPr>
        <w:t>acceptării</w:t>
      </w:r>
      <w:proofErr w:type="spellEnd"/>
      <w:r w:rsidRPr="00555F85">
        <w:rPr>
          <w:bCs/>
          <w:noProof w:val="0"/>
          <w:color w:val="0D0D0D"/>
          <w:lang w:val="en-US"/>
        </w:rPr>
        <w:t xml:space="preserve"> de </w:t>
      </w:r>
      <w:proofErr w:type="spellStart"/>
      <w:r w:rsidRPr="00555F85">
        <w:rPr>
          <w:bCs/>
          <w:noProof w:val="0"/>
          <w:color w:val="0D0D0D"/>
          <w:lang w:val="en-US"/>
        </w:rPr>
        <w:t>către</w:t>
      </w:r>
      <w:proofErr w:type="spellEnd"/>
      <w:r w:rsidRPr="00555F85">
        <w:rPr>
          <w:bCs/>
          <w:noProof w:val="0"/>
          <w:color w:val="0D0D0D"/>
          <w:lang w:val="en-US"/>
        </w:rPr>
        <w:t xml:space="preserve"> public </w:t>
      </w:r>
      <w:proofErr w:type="gramStart"/>
      <w:r w:rsidRPr="00555F85">
        <w:rPr>
          <w:bCs/>
          <w:noProof w:val="0"/>
          <w:color w:val="0D0D0D"/>
          <w:lang w:val="en-US"/>
        </w:rPr>
        <w:t>a</w:t>
      </w:r>
      <w:proofErr w:type="gramEnd"/>
      <w:r w:rsidRPr="00555F85">
        <w:rPr>
          <w:bCs/>
          <w:noProof w:val="0"/>
          <w:color w:val="0D0D0D"/>
          <w:lang w:val="en-US"/>
        </w:rPr>
        <w:t xml:space="preserve"> </w:t>
      </w:r>
      <w:proofErr w:type="spellStart"/>
      <w:r w:rsidRPr="00555F85">
        <w:rPr>
          <w:bCs/>
          <w:noProof w:val="0"/>
          <w:color w:val="0D0D0D"/>
          <w:lang w:val="en-US"/>
        </w:rPr>
        <w:t>implementării</w:t>
      </w:r>
      <w:proofErr w:type="spellEnd"/>
      <w:r w:rsidRPr="00555F85">
        <w:rPr>
          <w:bCs/>
          <w:noProof w:val="0"/>
          <w:color w:val="0D0D0D"/>
          <w:lang w:val="en-US"/>
        </w:rPr>
        <w:t xml:space="preserve"> lor </w:t>
      </w:r>
      <w:proofErr w:type="spellStart"/>
      <w:r w:rsidRPr="00555F85">
        <w:rPr>
          <w:bCs/>
          <w:noProof w:val="0"/>
          <w:color w:val="0D0D0D"/>
          <w:lang w:val="en-US"/>
        </w:rPr>
        <w:t>planificate</w:t>
      </w:r>
      <w:proofErr w:type="spellEnd"/>
      <w:r w:rsidRPr="00555F85">
        <w:rPr>
          <w:bCs/>
          <w:noProof w:val="0"/>
          <w:color w:val="0D0D0D"/>
          <w:lang w:val="en-US"/>
        </w:rPr>
        <w:t xml:space="preserve">. </w:t>
      </w:r>
      <w:proofErr w:type="spellStart"/>
      <w:r w:rsidRPr="00555F85">
        <w:rPr>
          <w:bCs/>
          <w:noProof w:val="0"/>
          <w:color w:val="0D0D0D"/>
          <w:lang w:val="en-US"/>
        </w:rPr>
        <w:t>Facilitarea</w:t>
      </w:r>
      <w:proofErr w:type="spellEnd"/>
      <w:r w:rsidRPr="00555F85">
        <w:rPr>
          <w:bCs/>
          <w:noProof w:val="0"/>
          <w:color w:val="0D0D0D"/>
          <w:lang w:val="en-US"/>
        </w:rPr>
        <w:t xml:space="preserve"> </w:t>
      </w:r>
      <w:proofErr w:type="spellStart"/>
      <w:r w:rsidRPr="00555F85">
        <w:rPr>
          <w:bCs/>
          <w:noProof w:val="0"/>
          <w:color w:val="0D0D0D"/>
          <w:lang w:val="en-US"/>
        </w:rPr>
        <w:t>participării</w:t>
      </w:r>
      <w:proofErr w:type="spellEnd"/>
      <w:r w:rsidRPr="00555F85">
        <w:rPr>
          <w:bCs/>
          <w:noProof w:val="0"/>
          <w:color w:val="0D0D0D"/>
          <w:lang w:val="en-US"/>
        </w:rPr>
        <w:t xml:space="preserve"> </w:t>
      </w:r>
      <w:proofErr w:type="spellStart"/>
      <w:r w:rsidRPr="00555F85">
        <w:rPr>
          <w:bCs/>
          <w:noProof w:val="0"/>
          <w:color w:val="0D0D0D"/>
          <w:lang w:val="en-US"/>
        </w:rPr>
        <w:t>comunităților</w:t>
      </w:r>
      <w:proofErr w:type="spellEnd"/>
      <w:r w:rsidRPr="00555F85">
        <w:rPr>
          <w:bCs/>
          <w:noProof w:val="0"/>
          <w:color w:val="0D0D0D"/>
          <w:lang w:val="en-US"/>
        </w:rPr>
        <w:t xml:space="preserve"> de </w:t>
      </w:r>
      <w:proofErr w:type="spellStart"/>
      <w:r w:rsidRPr="00555F85">
        <w:rPr>
          <w:bCs/>
          <w:noProof w:val="0"/>
          <w:color w:val="0D0D0D"/>
          <w:lang w:val="en-US"/>
        </w:rPr>
        <w:t>energie</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la </w:t>
      </w:r>
      <w:proofErr w:type="spellStart"/>
      <w:r w:rsidRPr="00555F85">
        <w:rPr>
          <w:bCs/>
          <w:noProof w:val="0"/>
          <w:color w:val="0D0D0D"/>
          <w:lang w:val="en-US"/>
        </w:rPr>
        <w:t>proiecte</w:t>
      </w:r>
      <w:proofErr w:type="spellEnd"/>
      <w:r w:rsidRPr="00555F85">
        <w:rPr>
          <w:bCs/>
          <w:noProof w:val="0"/>
          <w:color w:val="0D0D0D"/>
          <w:lang w:val="en-US"/>
        </w:rPr>
        <w:t xml:space="preserve"> </w:t>
      </w:r>
      <w:proofErr w:type="spellStart"/>
      <w:r w:rsidRPr="00555F85">
        <w:rPr>
          <w:bCs/>
          <w:noProof w:val="0"/>
          <w:color w:val="0D0D0D"/>
          <w:lang w:val="en-US"/>
        </w:rPr>
        <w:t>comune</w:t>
      </w:r>
      <w:proofErr w:type="spellEnd"/>
      <w:r w:rsidRPr="00555F85">
        <w:rPr>
          <w:bCs/>
          <w:noProof w:val="0"/>
          <w:color w:val="0D0D0D"/>
          <w:lang w:val="en-US"/>
        </w:rPr>
        <w:t xml:space="preserve"> </w:t>
      </w:r>
      <w:proofErr w:type="spellStart"/>
      <w:r w:rsidRPr="00555F85">
        <w:rPr>
          <w:bCs/>
          <w:noProof w:val="0"/>
          <w:color w:val="0D0D0D"/>
          <w:lang w:val="en-US"/>
        </w:rPr>
        <w:t>privind</w:t>
      </w:r>
      <w:proofErr w:type="spellEnd"/>
      <w:r w:rsidRPr="00555F85">
        <w:rPr>
          <w:bCs/>
          <w:noProof w:val="0"/>
          <w:color w:val="0D0D0D"/>
          <w:lang w:val="en-US"/>
        </w:rPr>
        <w:t xml:space="preserve"> </w:t>
      </w:r>
      <w:proofErr w:type="spellStart"/>
      <w:r w:rsidRPr="00555F85">
        <w:rPr>
          <w:bCs/>
          <w:noProof w:val="0"/>
          <w:color w:val="0D0D0D"/>
          <w:lang w:val="en-US"/>
        </w:rPr>
        <w:t>energia</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offshore </w:t>
      </w:r>
      <w:proofErr w:type="spellStart"/>
      <w:r w:rsidRPr="00555F85">
        <w:rPr>
          <w:bCs/>
          <w:noProof w:val="0"/>
          <w:color w:val="0D0D0D"/>
          <w:lang w:val="en-US"/>
        </w:rPr>
        <w:t>oferă</w:t>
      </w:r>
      <w:proofErr w:type="spellEnd"/>
      <w:r w:rsidRPr="00555F85">
        <w:rPr>
          <w:bCs/>
          <w:noProof w:val="0"/>
          <w:color w:val="0D0D0D"/>
          <w:lang w:val="en-US"/>
        </w:rPr>
        <w:t xml:space="preserve"> </w:t>
      </w:r>
      <w:proofErr w:type="spellStart"/>
      <w:r w:rsidRPr="00555F85">
        <w:rPr>
          <w:bCs/>
          <w:noProof w:val="0"/>
          <w:color w:val="0D0D0D"/>
          <w:lang w:val="en-US"/>
        </w:rPr>
        <w:t>mijloace</w:t>
      </w:r>
      <w:proofErr w:type="spellEnd"/>
      <w:r w:rsidRPr="00555F85">
        <w:rPr>
          <w:bCs/>
          <w:noProof w:val="0"/>
          <w:color w:val="0D0D0D"/>
          <w:lang w:val="en-US"/>
        </w:rPr>
        <w:t xml:space="preserve"> </w:t>
      </w:r>
      <w:proofErr w:type="spellStart"/>
      <w:r w:rsidRPr="00555F85">
        <w:rPr>
          <w:bCs/>
          <w:noProof w:val="0"/>
          <w:color w:val="0D0D0D"/>
          <w:lang w:val="en-US"/>
        </w:rPr>
        <w:t>suplimentare</w:t>
      </w:r>
      <w:proofErr w:type="spellEnd"/>
      <w:r w:rsidRPr="00555F85">
        <w:rPr>
          <w:bCs/>
          <w:noProof w:val="0"/>
          <w:color w:val="0D0D0D"/>
          <w:lang w:val="en-US"/>
        </w:rPr>
        <w:t xml:space="preserve"> de </w:t>
      </w:r>
      <w:proofErr w:type="spellStart"/>
      <w:r w:rsidRPr="00555F85">
        <w:rPr>
          <w:bCs/>
          <w:noProof w:val="0"/>
          <w:color w:val="0D0D0D"/>
          <w:lang w:val="en-US"/>
        </w:rPr>
        <w:t>creștere</w:t>
      </w:r>
      <w:proofErr w:type="spellEnd"/>
      <w:r w:rsidRPr="00555F85">
        <w:rPr>
          <w:bCs/>
          <w:noProof w:val="0"/>
          <w:color w:val="0D0D0D"/>
          <w:lang w:val="en-US"/>
        </w:rPr>
        <w:t xml:space="preserve"> </w:t>
      </w:r>
      <w:proofErr w:type="gramStart"/>
      <w:r w:rsidRPr="00555F85">
        <w:rPr>
          <w:bCs/>
          <w:noProof w:val="0"/>
          <w:color w:val="0D0D0D"/>
          <w:lang w:val="en-US"/>
        </w:rPr>
        <w:t>a</w:t>
      </w:r>
      <w:proofErr w:type="gramEnd"/>
      <w:r w:rsidRPr="00555F85">
        <w:rPr>
          <w:bCs/>
          <w:noProof w:val="0"/>
          <w:color w:val="0D0D0D"/>
          <w:lang w:val="en-US"/>
        </w:rPr>
        <w:t xml:space="preserve"> </w:t>
      </w:r>
      <w:proofErr w:type="spellStart"/>
      <w:r w:rsidRPr="00555F85">
        <w:rPr>
          <w:bCs/>
          <w:noProof w:val="0"/>
          <w:color w:val="0D0D0D"/>
          <w:lang w:val="en-US"/>
        </w:rPr>
        <w:t>acceptării</w:t>
      </w:r>
      <w:proofErr w:type="spellEnd"/>
      <w:r w:rsidRPr="00555F85">
        <w:rPr>
          <w:bCs/>
          <w:noProof w:val="0"/>
          <w:color w:val="0D0D0D"/>
          <w:lang w:val="en-US"/>
        </w:rPr>
        <w:t xml:space="preserve"> de </w:t>
      </w:r>
      <w:proofErr w:type="spellStart"/>
      <w:r w:rsidRPr="00555F85">
        <w:rPr>
          <w:bCs/>
          <w:noProof w:val="0"/>
          <w:color w:val="0D0D0D"/>
          <w:lang w:val="en-US"/>
        </w:rPr>
        <w:t>către</w:t>
      </w:r>
      <w:proofErr w:type="spellEnd"/>
      <w:r w:rsidRPr="00555F85">
        <w:rPr>
          <w:bCs/>
          <w:noProof w:val="0"/>
          <w:color w:val="0D0D0D"/>
          <w:lang w:val="en-US"/>
        </w:rPr>
        <w:t xml:space="preserve"> public.</w:t>
      </w:r>
    </w:p>
    <w:p w14:paraId="597B4C2D" w14:textId="77777777" w:rsidR="00555F85" w:rsidRPr="00555F85" w:rsidRDefault="00555F85" w:rsidP="00831398">
      <w:pPr>
        <w:spacing w:before="0" w:after="200"/>
        <w:ind w:left="842" w:hanging="540"/>
        <w:rPr>
          <w:bCs/>
          <w:noProof w:val="0"/>
          <w:color w:val="0D0D0D"/>
          <w:lang w:val="en-US"/>
        </w:rPr>
      </w:pPr>
      <w:proofErr w:type="spellStart"/>
      <w:r w:rsidRPr="00555F85">
        <w:rPr>
          <w:bCs/>
          <w:noProof w:val="0"/>
          <w:color w:val="0D0D0D"/>
          <w:lang w:val="en-US"/>
        </w:rPr>
        <w:t>încurajarea</w:t>
      </w:r>
      <w:proofErr w:type="spellEnd"/>
      <w:r w:rsidRPr="00555F85">
        <w:rPr>
          <w:bCs/>
          <w:noProof w:val="0"/>
          <w:color w:val="0D0D0D"/>
          <w:lang w:val="en-US"/>
        </w:rPr>
        <w:t xml:space="preserve"> </w:t>
      </w:r>
      <w:proofErr w:type="spellStart"/>
      <w:r w:rsidRPr="00555F85">
        <w:rPr>
          <w:bCs/>
          <w:noProof w:val="0"/>
          <w:color w:val="0D0D0D"/>
          <w:lang w:val="en-US"/>
        </w:rPr>
        <w:t>încheierii</w:t>
      </w:r>
      <w:proofErr w:type="spellEnd"/>
      <w:r w:rsidRPr="00555F85">
        <w:rPr>
          <w:bCs/>
          <w:noProof w:val="0"/>
          <w:color w:val="0D0D0D"/>
          <w:lang w:val="en-US"/>
        </w:rPr>
        <w:t xml:space="preserve"> de </w:t>
      </w:r>
      <w:proofErr w:type="spellStart"/>
      <w:r w:rsidRPr="00555F85">
        <w:rPr>
          <w:bCs/>
          <w:noProof w:val="0"/>
          <w:color w:val="0D0D0D"/>
          <w:lang w:val="en-US"/>
        </w:rPr>
        <w:t>contracte</w:t>
      </w:r>
      <w:proofErr w:type="spellEnd"/>
      <w:r w:rsidRPr="00555F85">
        <w:rPr>
          <w:bCs/>
          <w:noProof w:val="0"/>
          <w:color w:val="0D0D0D"/>
          <w:lang w:val="en-US"/>
        </w:rPr>
        <w:t xml:space="preserve"> de </w:t>
      </w:r>
      <w:proofErr w:type="spellStart"/>
      <w:r w:rsidRPr="00555F85">
        <w:rPr>
          <w:bCs/>
          <w:noProof w:val="0"/>
          <w:color w:val="0D0D0D"/>
          <w:lang w:val="en-US"/>
        </w:rPr>
        <w:t>achiziție</w:t>
      </w:r>
      <w:proofErr w:type="spellEnd"/>
      <w:r w:rsidRPr="00555F85">
        <w:rPr>
          <w:bCs/>
          <w:noProof w:val="0"/>
          <w:color w:val="0D0D0D"/>
          <w:lang w:val="en-US"/>
        </w:rPr>
        <w:t xml:space="preserve"> de </w:t>
      </w:r>
      <w:proofErr w:type="spellStart"/>
      <w:r w:rsidRPr="00555F85">
        <w:rPr>
          <w:bCs/>
          <w:noProof w:val="0"/>
          <w:color w:val="0D0D0D"/>
          <w:lang w:val="en-US"/>
        </w:rPr>
        <w:t>energie</w:t>
      </w:r>
      <w:proofErr w:type="spellEnd"/>
      <w:r w:rsidRPr="00555F85">
        <w:rPr>
          <w:bCs/>
          <w:noProof w:val="0"/>
          <w:color w:val="0D0D0D"/>
          <w:lang w:val="en-US"/>
        </w:rPr>
        <w:t xml:space="preserve"> </w:t>
      </w:r>
      <w:proofErr w:type="spellStart"/>
      <w:r w:rsidRPr="00555F85">
        <w:rPr>
          <w:bCs/>
          <w:noProof w:val="0"/>
          <w:color w:val="0D0D0D"/>
          <w:lang w:val="en-US"/>
        </w:rPr>
        <w:t>electrică</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w:t>
      </w:r>
      <w:proofErr w:type="spellStart"/>
      <w:r w:rsidRPr="00555F85">
        <w:rPr>
          <w:bCs/>
          <w:noProof w:val="0"/>
          <w:color w:val="0D0D0D"/>
          <w:lang w:val="en-US"/>
        </w:rPr>
        <w:t>prin</w:t>
      </w:r>
      <w:proofErr w:type="spellEnd"/>
      <w:r w:rsidRPr="00555F85">
        <w:rPr>
          <w:bCs/>
          <w:noProof w:val="0"/>
          <w:color w:val="0D0D0D"/>
          <w:lang w:val="en-US"/>
        </w:rPr>
        <w:t xml:space="preserve"> </w:t>
      </w:r>
      <w:proofErr w:type="spellStart"/>
      <w:r w:rsidRPr="00555F85">
        <w:rPr>
          <w:bCs/>
          <w:noProof w:val="0"/>
          <w:color w:val="0D0D0D"/>
          <w:lang w:val="en-US"/>
        </w:rPr>
        <w:t>explorarea</w:t>
      </w:r>
      <w:proofErr w:type="spellEnd"/>
      <w:r w:rsidRPr="00555F85">
        <w:rPr>
          <w:bCs/>
          <w:noProof w:val="0"/>
          <w:color w:val="0D0D0D"/>
          <w:lang w:val="en-US"/>
        </w:rPr>
        <w:t xml:space="preserve"> </w:t>
      </w:r>
      <w:proofErr w:type="spellStart"/>
      <w:r w:rsidRPr="00555F85">
        <w:rPr>
          <w:bCs/>
          <w:noProof w:val="0"/>
          <w:color w:val="0D0D0D"/>
          <w:lang w:val="en-US"/>
        </w:rPr>
        <w:t>utilizării</w:t>
      </w:r>
      <w:proofErr w:type="spellEnd"/>
      <w:r w:rsidRPr="00555F85">
        <w:rPr>
          <w:bCs/>
          <w:noProof w:val="0"/>
          <w:color w:val="0D0D0D"/>
          <w:lang w:val="en-US"/>
        </w:rPr>
        <w:t xml:space="preserve"> </w:t>
      </w:r>
      <w:proofErr w:type="spellStart"/>
      <w:r w:rsidRPr="00555F85">
        <w:rPr>
          <w:bCs/>
          <w:noProof w:val="0"/>
          <w:color w:val="0D0D0D"/>
          <w:lang w:val="en-US"/>
        </w:rPr>
        <w:t>garanțiilor</w:t>
      </w:r>
      <w:proofErr w:type="spellEnd"/>
      <w:r w:rsidRPr="00555F85">
        <w:rPr>
          <w:bCs/>
          <w:noProof w:val="0"/>
          <w:color w:val="0D0D0D"/>
          <w:lang w:val="en-US"/>
        </w:rPr>
        <w:t xml:space="preserve"> </w:t>
      </w:r>
      <w:proofErr w:type="spellStart"/>
      <w:r w:rsidRPr="00555F85">
        <w:rPr>
          <w:bCs/>
          <w:noProof w:val="0"/>
          <w:color w:val="0D0D0D"/>
          <w:lang w:val="en-US"/>
        </w:rPr>
        <w:t>pentru</w:t>
      </w:r>
      <w:proofErr w:type="spellEnd"/>
      <w:r w:rsidRPr="00555F85">
        <w:rPr>
          <w:bCs/>
          <w:noProof w:val="0"/>
          <w:color w:val="0D0D0D"/>
          <w:lang w:val="en-US"/>
        </w:rPr>
        <w:t xml:space="preserve"> </w:t>
      </w:r>
      <w:proofErr w:type="spellStart"/>
      <w:r w:rsidRPr="00555F85">
        <w:rPr>
          <w:bCs/>
          <w:noProof w:val="0"/>
          <w:color w:val="0D0D0D"/>
          <w:lang w:val="en-US"/>
        </w:rPr>
        <w:t>credite</w:t>
      </w:r>
      <w:proofErr w:type="spellEnd"/>
      <w:r w:rsidRPr="00555F85">
        <w:rPr>
          <w:bCs/>
          <w:noProof w:val="0"/>
          <w:color w:val="0D0D0D"/>
          <w:lang w:val="en-US"/>
        </w:rPr>
        <w:t xml:space="preserve"> </w:t>
      </w:r>
      <w:proofErr w:type="spellStart"/>
      <w:r w:rsidRPr="00555F85">
        <w:rPr>
          <w:bCs/>
          <w:noProof w:val="0"/>
          <w:color w:val="0D0D0D"/>
          <w:lang w:val="en-US"/>
        </w:rPr>
        <w:t>pentru</w:t>
      </w:r>
      <w:proofErr w:type="spellEnd"/>
      <w:r w:rsidRPr="00555F85">
        <w:rPr>
          <w:bCs/>
          <w:noProof w:val="0"/>
          <w:color w:val="0D0D0D"/>
          <w:lang w:val="en-US"/>
        </w:rPr>
        <w:t xml:space="preserve"> a reduce </w:t>
      </w:r>
      <w:proofErr w:type="spellStart"/>
      <w:r w:rsidRPr="00555F85">
        <w:rPr>
          <w:bCs/>
          <w:noProof w:val="0"/>
          <w:color w:val="0D0D0D"/>
          <w:lang w:val="en-US"/>
        </w:rPr>
        <w:t>riscurile</w:t>
      </w:r>
      <w:proofErr w:type="spellEnd"/>
      <w:r w:rsidRPr="00555F85">
        <w:rPr>
          <w:bCs/>
          <w:noProof w:val="0"/>
          <w:color w:val="0D0D0D"/>
          <w:lang w:val="en-US"/>
        </w:rPr>
        <w:t xml:space="preserve"> </w:t>
      </w:r>
      <w:proofErr w:type="spellStart"/>
      <w:r w:rsidRPr="00555F85">
        <w:rPr>
          <w:bCs/>
          <w:noProof w:val="0"/>
          <w:color w:val="0D0D0D"/>
          <w:lang w:val="en-US"/>
        </w:rPr>
        <w:t>financiare</w:t>
      </w:r>
      <w:proofErr w:type="spellEnd"/>
      <w:r w:rsidRPr="00555F85">
        <w:rPr>
          <w:bCs/>
          <w:noProof w:val="0"/>
          <w:color w:val="0D0D0D"/>
          <w:lang w:val="en-US"/>
        </w:rPr>
        <w:t xml:space="preserve"> ale </w:t>
      </w:r>
      <w:proofErr w:type="spellStart"/>
      <w:r w:rsidRPr="00555F85">
        <w:rPr>
          <w:bCs/>
          <w:noProof w:val="0"/>
          <w:color w:val="0D0D0D"/>
          <w:lang w:val="en-US"/>
        </w:rPr>
        <w:t>unor</w:t>
      </w:r>
      <w:proofErr w:type="spellEnd"/>
      <w:r w:rsidRPr="00555F85">
        <w:rPr>
          <w:bCs/>
          <w:noProof w:val="0"/>
          <w:color w:val="0D0D0D"/>
          <w:lang w:val="en-US"/>
        </w:rPr>
        <w:t xml:space="preserve"> </w:t>
      </w:r>
      <w:proofErr w:type="spellStart"/>
      <w:r w:rsidRPr="00555F85">
        <w:rPr>
          <w:bCs/>
          <w:noProof w:val="0"/>
          <w:color w:val="0D0D0D"/>
          <w:lang w:val="en-US"/>
        </w:rPr>
        <w:t>astfel</w:t>
      </w:r>
      <w:proofErr w:type="spellEnd"/>
      <w:r w:rsidRPr="00555F85">
        <w:rPr>
          <w:bCs/>
          <w:noProof w:val="0"/>
          <w:color w:val="0D0D0D"/>
          <w:lang w:val="en-US"/>
        </w:rPr>
        <w:t xml:space="preserve"> de </w:t>
      </w:r>
      <w:proofErr w:type="spellStart"/>
      <w:r w:rsidRPr="00555F85">
        <w:rPr>
          <w:bCs/>
          <w:noProof w:val="0"/>
          <w:color w:val="0D0D0D"/>
          <w:lang w:val="en-US"/>
        </w:rPr>
        <w:t>acorduri</w:t>
      </w:r>
      <w:proofErr w:type="spellEnd"/>
      <w:r w:rsidRPr="00555F85">
        <w:rPr>
          <w:bCs/>
          <w:noProof w:val="0"/>
          <w:color w:val="0D0D0D"/>
          <w:lang w:val="en-US"/>
        </w:rPr>
        <w:t xml:space="preserve">, </w:t>
      </w:r>
      <w:proofErr w:type="spellStart"/>
      <w:r w:rsidRPr="00555F85">
        <w:rPr>
          <w:bCs/>
          <w:noProof w:val="0"/>
          <w:color w:val="0D0D0D"/>
          <w:lang w:val="en-US"/>
        </w:rPr>
        <w:t>ținând</w:t>
      </w:r>
      <w:proofErr w:type="spellEnd"/>
      <w:r w:rsidRPr="00555F85">
        <w:rPr>
          <w:bCs/>
          <w:noProof w:val="0"/>
          <w:color w:val="0D0D0D"/>
          <w:lang w:val="en-US"/>
        </w:rPr>
        <w:t xml:space="preserve"> </w:t>
      </w:r>
      <w:proofErr w:type="spellStart"/>
      <w:r w:rsidRPr="00555F85">
        <w:rPr>
          <w:bCs/>
          <w:noProof w:val="0"/>
          <w:color w:val="0D0D0D"/>
          <w:lang w:val="en-US"/>
        </w:rPr>
        <w:t>seama</w:t>
      </w:r>
      <w:proofErr w:type="spellEnd"/>
      <w:r w:rsidRPr="00555F85">
        <w:rPr>
          <w:bCs/>
          <w:noProof w:val="0"/>
          <w:color w:val="0D0D0D"/>
          <w:lang w:val="en-US"/>
        </w:rPr>
        <w:t xml:space="preserve"> de </w:t>
      </w:r>
      <w:proofErr w:type="spellStart"/>
      <w:r w:rsidRPr="00555F85">
        <w:rPr>
          <w:bCs/>
          <w:noProof w:val="0"/>
          <w:color w:val="0D0D0D"/>
          <w:lang w:val="en-US"/>
        </w:rPr>
        <w:t>faptul</w:t>
      </w:r>
      <w:proofErr w:type="spellEnd"/>
      <w:r w:rsidRPr="00555F85">
        <w:rPr>
          <w:bCs/>
          <w:noProof w:val="0"/>
          <w:color w:val="0D0D0D"/>
          <w:lang w:val="en-US"/>
        </w:rPr>
        <w:t xml:space="preserve"> </w:t>
      </w:r>
      <w:proofErr w:type="spellStart"/>
      <w:r w:rsidRPr="00555F85">
        <w:rPr>
          <w:bCs/>
          <w:noProof w:val="0"/>
          <w:color w:val="0D0D0D"/>
          <w:lang w:val="en-US"/>
        </w:rPr>
        <w:t>că</w:t>
      </w:r>
      <w:proofErr w:type="spellEnd"/>
      <w:r w:rsidRPr="00555F85">
        <w:rPr>
          <w:bCs/>
          <w:noProof w:val="0"/>
          <w:color w:val="0D0D0D"/>
          <w:lang w:val="en-US"/>
        </w:rPr>
        <w:t xml:space="preserve"> </w:t>
      </w:r>
      <w:proofErr w:type="spellStart"/>
      <w:r w:rsidRPr="00555F85">
        <w:rPr>
          <w:bCs/>
          <w:noProof w:val="0"/>
          <w:color w:val="0D0D0D"/>
          <w:lang w:val="en-US"/>
        </w:rPr>
        <w:t>respectivele</w:t>
      </w:r>
      <w:proofErr w:type="spellEnd"/>
      <w:r w:rsidRPr="00555F85">
        <w:rPr>
          <w:bCs/>
          <w:noProof w:val="0"/>
          <w:color w:val="0D0D0D"/>
          <w:lang w:val="en-US"/>
        </w:rPr>
        <w:t xml:space="preserve"> </w:t>
      </w:r>
      <w:proofErr w:type="spellStart"/>
      <w:r w:rsidRPr="00555F85">
        <w:rPr>
          <w:bCs/>
          <w:noProof w:val="0"/>
          <w:color w:val="0D0D0D"/>
          <w:lang w:val="en-US"/>
        </w:rPr>
        <w:t>garanții</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cazul</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care sunt </w:t>
      </w:r>
      <w:proofErr w:type="spellStart"/>
      <w:r w:rsidRPr="00555F85">
        <w:rPr>
          <w:bCs/>
          <w:noProof w:val="0"/>
          <w:color w:val="0D0D0D"/>
          <w:lang w:val="en-US"/>
        </w:rPr>
        <w:t>publice</w:t>
      </w:r>
      <w:proofErr w:type="spellEnd"/>
      <w:r w:rsidRPr="00555F85">
        <w:rPr>
          <w:bCs/>
          <w:noProof w:val="0"/>
          <w:color w:val="0D0D0D"/>
          <w:lang w:val="en-US"/>
        </w:rPr>
        <w:t xml:space="preserve">, nu </w:t>
      </w:r>
      <w:proofErr w:type="spellStart"/>
      <w:r w:rsidRPr="00555F85">
        <w:rPr>
          <w:bCs/>
          <w:noProof w:val="0"/>
          <w:color w:val="0D0D0D"/>
          <w:lang w:val="en-US"/>
        </w:rPr>
        <w:t>ar</w:t>
      </w:r>
      <w:proofErr w:type="spellEnd"/>
      <w:r w:rsidRPr="00555F85">
        <w:rPr>
          <w:bCs/>
          <w:noProof w:val="0"/>
          <w:color w:val="0D0D0D"/>
          <w:lang w:val="en-US"/>
        </w:rPr>
        <w:t xml:space="preserve"> </w:t>
      </w:r>
      <w:proofErr w:type="spellStart"/>
      <w:r w:rsidRPr="00555F85">
        <w:rPr>
          <w:bCs/>
          <w:noProof w:val="0"/>
          <w:color w:val="0D0D0D"/>
          <w:lang w:val="en-US"/>
        </w:rPr>
        <w:t>trebui</w:t>
      </w:r>
      <w:proofErr w:type="spellEnd"/>
      <w:r w:rsidRPr="00555F85">
        <w:rPr>
          <w:bCs/>
          <w:noProof w:val="0"/>
          <w:color w:val="0D0D0D"/>
          <w:lang w:val="en-US"/>
        </w:rPr>
        <w:t xml:space="preserve"> </w:t>
      </w:r>
      <w:proofErr w:type="spellStart"/>
      <w:r w:rsidRPr="00555F85">
        <w:rPr>
          <w:bCs/>
          <w:noProof w:val="0"/>
          <w:color w:val="0D0D0D"/>
          <w:lang w:val="en-US"/>
        </w:rPr>
        <w:t>să</w:t>
      </w:r>
      <w:proofErr w:type="spellEnd"/>
      <w:r w:rsidRPr="00555F85">
        <w:rPr>
          <w:bCs/>
          <w:noProof w:val="0"/>
          <w:color w:val="0D0D0D"/>
          <w:lang w:val="en-US"/>
        </w:rPr>
        <w:t xml:space="preserve"> </w:t>
      </w:r>
      <w:proofErr w:type="spellStart"/>
      <w:r w:rsidRPr="00555F85">
        <w:rPr>
          <w:bCs/>
          <w:noProof w:val="0"/>
          <w:color w:val="0D0D0D"/>
          <w:lang w:val="en-US"/>
        </w:rPr>
        <w:t>elimine</w:t>
      </w:r>
      <w:proofErr w:type="spellEnd"/>
      <w:r w:rsidRPr="00555F85">
        <w:rPr>
          <w:bCs/>
          <w:noProof w:val="0"/>
          <w:color w:val="0D0D0D"/>
          <w:lang w:val="en-US"/>
        </w:rPr>
        <w:t xml:space="preserve"> </w:t>
      </w:r>
      <w:proofErr w:type="spellStart"/>
      <w:r w:rsidRPr="00555F85">
        <w:rPr>
          <w:bCs/>
          <w:noProof w:val="0"/>
          <w:color w:val="0D0D0D"/>
          <w:lang w:val="en-US"/>
        </w:rPr>
        <w:t>finanțarea</w:t>
      </w:r>
      <w:proofErr w:type="spellEnd"/>
      <w:r w:rsidRPr="00555F85">
        <w:rPr>
          <w:bCs/>
          <w:noProof w:val="0"/>
          <w:color w:val="0D0D0D"/>
          <w:lang w:val="en-US"/>
        </w:rPr>
        <w:t xml:space="preserve"> </w:t>
      </w:r>
      <w:proofErr w:type="spellStart"/>
      <w:r w:rsidRPr="00555F85">
        <w:rPr>
          <w:bCs/>
          <w:noProof w:val="0"/>
          <w:color w:val="0D0D0D"/>
          <w:lang w:val="en-US"/>
        </w:rPr>
        <w:t>privată</w:t>
      </w:r>
      <w:proofErr w:type="spellEnd"/>
      <w:r w:rsidRPr="00555F85">
        <w:rPr>
          <w:bCs/>
          <w:noProof w:val="0"/>
          <w:color w:val="0D0D0D"/>
          <w:lang w:val="en-US"/>
        </w:rPr>
        <w:t>.</w:t>
      </w:r>
    </w:p>
    <w:p w14:paraId="6A263E13" w14:textId="77777777" w:rsidR="00555F85" w:rsidRPr="00D16D9D" w:rsidRDefault="00555F85" w:rsidP="00831398">
      <w:pPr>
        <w:spacing w:before="0" w:after="200"/>
        <w:ind w:left="842" w:hanging="540"/>
        <w:rPr>
          <w:bCs/>
          <w:noProof w:val="0"/>
          <w:color w:val="0D0D0D"/>
          <w:lang w:val="pt-BR"/>
        </w:rPr>
      </w:pPr>
      <w:r w:rsidRPr="00555F85">
        <w:rPr>
          <w:bCs/>
          <w:noProof w:val="0"/>
          <w:color w:val="0D0D0D"/>
          <w:lang w:val="en-US"/>
        </w:rPr>
        <w:t> </w:t>
      </w:r>
      <w:r w:rsidRPr="00D16D9D">
        <w:rPr>
          <w:bCs/>
          <w:noProof w:val="0"/>
          <w:color w:val="0D0D0D"/>
          <w:lang w:val="pt-BR"/>
        </w:rPr>
        <w:t>raționalizarea suplimentară a procedurilor administrative de acordare a autorizațiilor pentru a elimina sarcinile administrative inutile în scopul stabilirii proiectelor privind energia din surse regenerabile și a proiectelor de infrastructură de rețea aferente. </w:t>
      </w:r>
    </w:p>
    <w:p w14:paraId="5828560A" w14:textId="77777777" w:rsidR="00555F85" w:rsidRPr="00D16D9D" w:rsidRDefault="00555F85" w:rsidP="00831398">
      <w:pPr>
        <w:spacing w:before="0" w:after="200"/>
        <w:ind w:left="842" w:hanging="540"/>
        <w:rPr>
          <w:bCs/>
          <w:noProof w:val="0"/>
          <w:color w:val="0D0D0D"/>
          <w:lang w:val="pt-BR"/>
        </w:rPr>
      </w:pPr>
      <w:r w:rsidRPr="00D16D9D">
        <w:rPr>
          <w:bCs/>
          <w:noProof w:val="0"/>
          <w:color w:val="0D0D0D"/>
          <w:lang w:val="pt-BR"/>
        </w:rPr>
        <w:t>necesitatea decarbonizări încălzirii și răcirii în clădiri prin creșterea ponderii producției și a utilizării energiei din surse regenerabile pentru a îndeplini obiectivul ambițios prevăzut în Regulamentul (UE) 2021/1119 de a realiza obiectivul Uniunii privind neutralitatea climatică. pentru a orienta și a stimula eforturile statelor membre de a exploata potențialul utilizării și producției de energie din surse regenerabile în clădiri, de a încuraja dezvoltarea tehnologiilor care produc energie din surse regenerabile și a contribui la integrarea eficientă a unor astfel de tehnologii în sistemul energetic, oferind în același timp siguranță investitorilor și implicare la nivel local și contribuind totodată la eficiența sistemului.</w:t>
      </w:r>
    </w:p>
    <w:p w14:paraId="1E799022" w14:textId="77777777" w:rsidR="00555F85" w:rsidRPr="00D16D9D" w:rsidRDefault="00555F85" w:rsidP="00831398">
      <w:pPr>
        <w:spacing w:before="0" w:after="200"/>
        <w:ind w:left="842" w:hanging="540"/>
        <w:rPr>
          <w:bCs/>
          <w:noProof w:val="0"/>
          <w:color w:val="0D0D0D"/>
          <w:lang w:val="pt-BR"/>
        </w:rPr>
      </w:pPr>
      <w:r w:rsidRPr="00D16D9D">
        <w:rPr>
          <w:bCs/>
          <w:noProof w:val="0"/>
          <w:color w:val="0D0D0D"/>
          <w:lang w:val="pt-BR"/>
        </w:rPr>
        <w:t>pentru accelerarea ritmului implementării unor astfel de proiecte, este necesar să se adopte norme care să simplifice și să scurteze procedurile de acordare a autorizațiilor, luându-se în considerare acceptarea la scară largă de către public a implementării energiei din surse regenerabile.</w:t>
      </w:r>
    </w:p>
    <w:p w14:paraId="389B1B4E" w14:textId="77777777" w:rsidR="00555F85" w:rsidRPr="00555F85" w:rsidRDefault="00555F85" w:rsidP="00831398">
      <w:pPr>
        <w:spacing w:before="0" w:after="200"/>
        <w:ind w:left="842" w:hanging="540"/>
        <w:rPr>
          <w:bCs/>
          <w:noProof w:val="0"/>
          <w:color w:val="0D0D0D"/>
          <w:lang w:val="en-US"/>
        </w:rPr>
      </w:pPr>
      <w:r w:rsidRPr="00D16D9D">
        <w:rPr>
          <w:bCs/>
          <w:noProof w:val="0"/>
          <w:color w:val="0D0D0D"/>
          <w:lang w:val="pt-BR"/>
        </w:rPr>
        <w:t xml:space="preserve">implementarea mai rapidă a proiectelor privind energia din surse regenerabile prin realizarea, în coordonare cu autoritățile locale și regionale, a unei cartografieri coordonate a implementării energiei din surse regenerabile și a infrastructurii aferente pe teritoriul lor. </w:t>
      </w:r>
      <w:proofErr w:type="spellStart"/>
      <w:r w:rsidRPr="00555F85">
        <w:rPr>
          <w:bCs/>
          <w:noProof w:val="0"/>
          <w:color w:val="0D0D0D"/>
          <w:lang w:val="en-US"/>
        </w:rPr>
        <w:t>Statele</w:t>
      </w:r>
      <w:proofErr w:type="spellEnd"/>
      <w:r w:rsidRPr="00555F85">
        <w:rPr>
          <w:bCs/>
          <w:noProof w:val="0"/>
          <w:color w:val="0D0D0D"/>
          <w:lang w:val="en-US"/>
        </w:rPr>
        <w:t xml:space="preserve"> </w:t>
      </w:r>
      <w:proofErr w:type="spellStart"/>
      <w:r w:rsidRPr="00555F85">
        <w:rPr>
          <w:bCs/>
          <w:noProof w:val="0"/>
          <w:color w:val="0D0D0D"/>
          <w:lang w:val="en-US"/>
        </w:rPr>
        <w:t>membre</w:t>
      </w:r>
      <w:proofErr w:type="spellEnd"/>
      <w:r w:rsidRPr="00555F85">
        <w:rPr>
          <w:bCs/>
          <w:noProof w:val="0"/>
          <w:color w:val="0D0D0D"/>
          <w:lang w:val="en-US"/>
        </w:rPr>
        <w:t xml:space="preserve"> </w:t>
      </w:r>
      <w:proofErr w:type="spellStart"/>
      <w:r w:rsidRPr="00555F85">
        <w:rPr>
          <w:bCs/>
          <w:noProof w:val="0"/>
          <w:color w:val="0D0D0D"/>
          <w:lang w:val="en-US"/>
        </w:rPr>
        <w:t>ar</w:t>
      </w:r>
      <w:proofErr w:type="spellEnd"/>
      <w:r w:rsidRPr="00555F85">
        <w:rPr>
          <w:bCs/>
          <w:noProof w:val="0"/>
          <w:color w:val="0D0D0D"/>
          <w:lang w:val="en-US"/>
        </w:rPr>
        <w:t xml:space="preserve"> </w:t>
      </w:r>
      <w:proofErr w:type="spellStart"/>
      <w:r w:rsidRPr="00555F85">
        <w:rPr>
          <w:bCs/>
          <w:noProof w:val="0"/>
          <w:color w:val="0D0D0D"/>
          <w:lang w:val="en-US"/>
        </w:rPr>
        <w:t>trebui</w:t>
      </w:r>
      <w:proofErr w:type="spellEnd"/>
      <w:r w:rsidRPr="00555F85">
        <w:rPr>
          <w:bCs/>
          <w:noProof w:val="0"/>
          <w:color w:val="0D0D0D"/>
          <w:lang w:val="en-US"/>
        </w:rPr>
        <w:t xml:space="preserve"> </w:t>
      </w:r>
      <w:proofErr w:type="spellStart"/>
      <w:r w:rsidRPr="00555F85">
        <w:rPr>
          <w:bCs/>
          <w:noProof w:val="0"/>
          <w:color w:val="0D0D0D"/>
          <w:lang w:val="en-US"/>
        </w:rPr>
        <w:t>să</w:t>
      </w:r>
      <w:proofErr w:type="spellEnd"/>
      <w:r w:rsidRPr="00555F85">
        <w:rPr>
          <w:bCs/>
          <w:noProof w:val="0"/>
          <w:color w:val="0D0D0D"/>
          <w:lang w:val="en-US"/>
        </w:rPr>
        <w:t xml:space="preserve"> </w:t>
      </w:r>
      <w:proofErr w:type="spellStart"/>
      <w:r w:rsidRPr="00555F85">
        <w:rPr>
          <w:bCs/>
          <w:noProof w:val="0"/>
          <w:color w:val="0D0D0D"/>
          <w:lang w:val="en-US"/>
        </w:rPr>
        <w:t>identifice</w:t>
      </w:r>
      <w:proofErr w:type="spellEnd"/>
      <w:r w:rsidRPr="00555F85">
        <w:rPr>
          <w:bCs/>
          <w:noProof w:val="0"/>
          <w:color w:val="0D0D0D"/>
          <w:lang w:val="en-US"/>
        </w:rPr>
        <w:t xml:space="preserve"> </w:t>
      </w:r>
      <w:proofErr w:type="spellStart"/>
      <w:r w:rsidRPr="00555F85">
        <w:rPr>
          <w:bCs/>
          <w:noProof w:val="0"/>
          <w:color w:val="0D0D0D"/>
          <w:lang w:val="en-US"/>
        </w:rPr>
        <w:t>zonele</w:t>
      </w:r>
      <w:proofErr w:type="spellEnd"/>
      <w:r w:rsidRPr="00555F85">
        <w:rPr>
          <w:bCs/>
          <w:noProof w:val="0"/>
          <w:color w:val="0D0D0D"/>
          <w:lang w:val="en-US"/>
        </w:rPr>
        <w:t xml:space="preserve"> de </w:t>
      </w:r>
      <w:proofErr w:type="spellStart"/>
      <w:r w:rsidRPr="00555F85">
        <w:rPr>
          <w:bCs/>
          <w:noProof w:val="0"/>
          <w:color w:val="0D0D0D"/>
          <w:lang w:val="en-US"/>
        </w:rPr>
        <w:t>uscat</w:t>
      </w:r>
      <w:proofErr w:type="spellEnd"/>
      <w:r w:rsidRPr="00555F85">
        <w:rPr>
          <w:bCs/>
          <w:noProof w:val="0"/>
          <w:color w:val="0D0D0D"/>
          <w:lang w:val="en-US"/>
        </w:rPr>
        <w:t xml:space="preserve">, de </w:t>
      </w:r>
      <w:proofErr w:type="spellStart"/>
      <w:r w:rsidRPr="00555F85">
        <w:rPr>
          <w:bCs/>
          <w:noProof w:val="0"/>
          <w:color w:val="0D0D0D"/>
          <w:lang w:val="en-US"/>
        </w:rPr>
        <w:t>suprafață</w:t>
      </w:r>
      <w:proofErr w:type="spellEnd"/>
      <w:r w:rsidRPr="00555F85">
        <w:rPr>
          <w:bCs/>
          <w:noProof w:val="0"/>
          <w:color w:val="0D0D0D"/>
          <w:lang w:val="en-US"/>
        </w:rPr>
        <w:t xml:space="preserve">, de </w:t>
      </w:r>
      <w:proofErr w:type="spellStart"/>
      <w:r w:rsidRPr="00555F85">
        <w:rPr>
          <w:bCs/>
          <w:noProof w:val="0"/>
          <w:color w:val="0D0D0D"/>
          <w:lang w:val="en-US"/>
        </w:rPr>
        <w:lastRenderedPageBreak/>
        <w:t>subsol</w:t>
      </w:r>
      <w:proofErr w:type="spellEnd"/>
      <w:r w:rsidRPr="00555F85">
        <w:rPr>
          <w:bCs/>
          <w:noProof w:val="0"/>
          <w:color w:val="0D0D0D"/>
          <w:lang w:val="en-US"/>
        </w:rPr>
        <w:t xml:space="preserve"> </w:t>
      </w:r>
      <w:proofErr w:type="spellStart"/>
      <w:r w:rsidRPr="00555F85">
        <w:rPr>
          <w:bCs/>
          <w:noProof w:val="0"/>
          <w:color w:val="0D0D0D"/>
          <w:lang w:val="en-US"/>
        </w:rPr>
        <w:t>și</w:t>
      </w:r>
      <w:proofErr w:type="spellEnd"/>
      <w:r w:rsidRPr="00555F85">
        <w:rPr>
          <w:bCs/>
          <w:noProof w:val="0"/>
          <w:color w:val="0D0D0D"/>
          <w:lang w:val="en-US"/>
        </w:rPr>
        <w:t xml:space="preserve"> de ape maritime </w:t>
      </w:r>
      <w:proofErr w:type="spellStart"/>
      <w:r w:rsidRPr="00555F85">
        <w:rPr>
          <w:bCs/>
          <w:noProof w:val="0"/>
          <w:color w:val="0D0D0D"/>
          <w:lang w:val="en-US"/>
        </w:rPr>
        <w:t>sau</w:t>
      </w:r>
      <w:proofErr w:type="spellEnd"/>
      <w:r w:rsidRPr="00555F85">
        <w:rPr>
          <w:bCs/>
          <w:noProof w:val="0"/>
          <w:color w:val="0D0D0D"/>
          <w:lang w:val="en-US"/>
        </w:rPr>
        <w:t xml:space="preserve"> de ape </w:t>
      </w:r>
      <w:proofErr w:type="spellStart"/>
      <w:r w:rsidRPr="00555F85">
        <w:rPr>
          <w:bCs/>
          <w:noProof w:val="0"/>
          <w:color w:val="0D0D0D"/>
          <w:lang w:val="en-US"/>
        </w:rPr>
        <w:t>interioare</w:t>
      </w:r>
      <w:proofErr w:type="spellEnd"/>
      <w:r w:rsidRPr="00555F85">
        <w:rPr>
          <w:bCs/>
          <w:noProof w:val="0"/>
          <w:color w:val="0D0D0D"/>
          <w:lang w:val="en-US"/>
        </w:rPr>
        <w:t xml:space="preserve"> </w:t>
      </w:r>
      <w:proofErr w:type="spellStart"/>
      <w:r w:rsidRPr="00555F85">
        <w:rPr>
          <w:bCs/>
          <w:noProof w:val="0"/>
          <w:color w:val="0D0D0D"/>
          <w:lang w:val="en-US"/>
        </w:rPr>
        <w:t>necesare</w:t>
      </w:r>
      <w:proofErr w:type="spellEnd"/>
      <w:r w:rsidRPr="00555F85">
        <w:rPr>
          <w:bCs/>
          <w:noProof w:val="0"/>
          <w:color w:val="0D0D0D"/>
          <w:lang w:val="en-US"/>
        </w:rPr>
        <w:t xml:space="preserve"> </w:t>
      </w:r>
      <w:proofErr w:type="spellStart"/>
      <w:r w:rsidRPr="00555F85">
        <w:rPr>
          <w:bCs/>
          <w:noProof w:val="0"/>
          <w:color w:val="0D0D0D"/>
          <w:lang w:val="en-US"/>
        </w:rPr>
        <w:t>pentru</w:t>
      </w:r>
      <w:proofErr w:type="spellEnd"/>
      <w:r w:rsidRPr="00555F85">
        <w:rPr>
          <w:bCs/>
          <w:noProof w:val="0"/>
          <w:color w:val="0D0D0D"/>
          <w:lang w:val="en-US"/>
        </w:rPr>
        <w:t xml:space="preserve"> </w:t>
      </w:r>
      <w:proofErr w:type="spellStart"/>
      <w:r w:rsidRPr="00555F85">
        <w:rPr>
          <w:bCs/>
          <w:noProof w:val="0"/>
          <w:color w:val="0D0D0D"/>
          <w:lang w:val="en-US"/>
        </w:rPr>
        <w:t>instalarea</w:t>
      </w:r>
      <w:proofErr w:type="spellEnd"/>
      <w:r w:rsidRPr="00555F85">
        <w:rPr>
          <w:bCs/>
          <w:noProof w:val="0"/>
          <w:color w:val="0D0D0D"/>
          <w:lang w:val="en-US"/>
        </w:rPr>
        <w:t xml:space="preserve"> de centrale </w:t>
      </w:r>
      <w:proofErr w:type="spellStart"/>
      <w:r w:rsidRPr="00555F85">
        <w:rPr>
          <w:bCs/>
          <w:noProof w:val="0"/>
          <w:color w:val="0D0D0D"/>
          <w:lang w:val="en-US"/>
        </w:rPr>
        <w:t>producătoare</w:t>
      </w:r>
      <w:proofErr w:type="spellEnd"/>
      <w:r w:rsidRPr="00555F85">
        <w:rPr>
          <w:bCs/>
          <w:noProof w:val="0"/>
          <w:color w:val="0D0D0D"/>
          <w:lang w:val="en-US"/>
        </w:rPr>
        <w:t xml:space="preserve"> de </w:t>
      </w:r>
      <w:proofErr w:type="spellStart"/>
      <w:r w:rsidRPr="00555F85">
        <w:rPr>
          <w:bCs/>
          <w:noProof w:val="0"/>
          <w:color w:val="0D0D0D"/>
          <w:lang w:val="en-US"/>
        </w:rPr>
        <w:t>energie</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w:t>
      </w:r>
      <w:proofErr w:type="spellStart"/>
      <w:r w:rsidRPr="00555F85">
        <w:rPr>
          <w:bCs/>
          <w:noProof w:val="0"/>
          <w:color w:val="0D0D0D"/>
          <w:lang w:val="en-US"/>
        </w:rPr>
        <w:t>și</w:t>
      </w:r>
      <w:proofErr w:type="spellEnd"/>
      <w:r w:rsidRPr="00555F85">
        <w:rPr>
          <w:bCs/>
          <w:noProof w:val="0"/>
          <w:color w:val="0D0D0D"/>
          <w:lang w:val="en-US"/>
        </w:rPr>
        <w:t xml:space="preserve"> a </w:t>
      </w:r>
      <w:proofErr w:type="spellStart"/>
      <w:r w:rsidRPr="00555F85">
        <w:rPr>
          <w:bCs/>
          <w:noProof w:val="0"/>
          <w:color w:val="0D0D0D"/>
          <w:lang w:val="en-US"/>
        </w:rPr>
        <w:t>infrastructurii</w:t>
      </w:r>
      <w:proofErr w:type="spellEnd"/>
      <w:r w:rsidRPr="00555F85">
        <w:rPr>
          <w:bCs/>
          <w:noProof w:val="0"/>
          <w:color w:val="0D0D0D"/>
          <w:lang w:val="en-US"/>
        </w:rPr>
        <w:t xml:space="preserve"> </w:t>
      </w:r>
      <w:proofErr w:type="spellStart"/>
      <w:r w:rsidRPr="00555F85">
        <w:rPr>
          <w:bCs/>
          <w:noProof w:val="0"/>
          <w:color w:val="0D0D0D"/>
          <w:lang w:val="en-US"/>
        </w:rPr>
        <w:t>aferente</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vederea</w:t>
      </w:r>
      <w:proofErr w:type="spellEnd"/>
      <w:r w:rsidRPr="00555F85">
        <w:rPr>
          <w:bCs/>
          <w:noProof w:val="0"/>
          <w:color w:val="0D0D0D"/>
          <w:lang w:val="en-US"/>
        </w:rPr>
        <w:t xml:space="preserve"> </w:t>
      </w:r>
      <w:proofErr w:type="spellStart"/>
      <w:r w:rsidRPr="00555F85">
        <w:rPr>
          <w:bCs/>
          <w:noProof w:val="0"/>
          <w:color w:val="0D0D0D"/>
          <w:lang w:val="en-US"/>
        </w:rPr>
        <w:t>îndeplinirii</w:t>
      </w:r>
      <w:proofErr w:type="spellEnd"/>
      <w:r w:rsidRPr="00555F85">
        <w:rPr>
          <w:bCs/>
          <w:noProof w:val="0"/>
          <w:color w:val="0D0D0D"/>
          <w:lang w:val="en-US"/>
        </w:rPr>
        <w:t xml:space="preserve"> cel </w:t>
      </w:r>
      <w:proofErr w:type="spellStart"/>
      <w:r w:rsidRPr="00555F85">
        <w:rPr>
          <w:bCs/>
          <w:noProof w:val="0"/>
          <w:color w:val="0D0D0D"/>
          <w:lang w:val="en-US"/>
        </w:rPr>
        <w:t>puțin</w:t>
      </w:r>
      <w:proofErr w:type="spellEnd"/>
      <w:r w:rsidRPr="00555F85">
        <w:rPr>
          <w:bCs/>
          <w:noProof w:val="0"/>
          <w:color w:val="0D0D0D"/>
          <w:lang w:val="en-US"/>
        </w:rPr>
        <w:t xml:space="preserve"> a </w:t>
      </w:r>
      <w:proofErr w:type="spellStart"/>
      <w:r w:rsidRPr="00555F85">
        <w:rPr>
          <w:bCs/>
          <w:noProof w:val="0"/>
          <w:color w:val="0D0D0D"/>
          <w:lang w:val="en-US"/>
        </w:rPr>
        <w:t>contribuțiilor</w:t>
      </w:r>
      <w:proofErr w:type="spellEnd"/>
      <w:r w:rsidRPr="00555F85">
        <w:rPr>
          <w:bCs/>
          <w:noProof w:val="0"/>
          <w:color w:val="0D0D0D"/>
          <w:lang w:val="en-US"/>
        </w:rPr>
        <w:t xml:space="preserve"> lor </w:t>
      </w:r>
      <w:proofErr w:type="spellStart"/>
      <w:r w:rsidRPr="00555F85">
        <w:rPr>
          <w:bCs/>
          <w:noProof w:val="0"/>
          <w:color w:val="0D0D0D"/>
          <w:lang w:val="en-US"/>
        </w:rPr>
        <w:t>naționale</w:t>
      </w:r>
      <w:proofErr w:type="spellEnd"/>
      <w:r w:rsidRPr="00555F85">
        <w:rPr>
          <w:bCs/>
          <w:noProof w:val="0"/>
          <w:color w:val="0D0D0D"/>
          <w:lang w:val="en-US"/>
        </w:rPr>
        <w:t xml:space="preserve"> la </w:t>
      </w:r>
      <w:proofErr w:type="spellStart"/>
      <w:r w:rsidRPr="00555F85">
        <w:rPr>
          <w:bCs/>
          <w:noProof w:val="0"/>
          <w:color w:val="0D0D0D"/>
          <w:lang w:val="en-US"/>
        </w:rPr>
        <w:t>obiectivul</w:t>
      </w:r>
      <w:proofErr w:type="spellEnd"/>
      <w:r w:rsidRPr="00555F85">
        <w:rPr>
          <w:bCs/>
          <w:noProof w:val="0"/>
          <w:color w:val="0D0D0D"/>
          <w:lang w:val="en-US"/>
        </w:rPr>
        <w:t xml:space="preserve"> general </w:t>
      </w:r>
      <w:proofErr w:type="spellStart"/>
      <w:r w:rsidRPr="00555F85">
        <w:rPr>
          <w:bCs/>
          <w:noProof w:val="0"/>
          <w:color w:val="0D0D0D"/>
          <w:lang w:val="en-US"/>
        </w:rPr>
        <w:t>revizuit</w:t>
      </w:r>
      <w:proofErr w:type="spellEnd"/>
      <w:r w:rsidRPr="00555F85">
        <w:rPr>
          <w:bCs/>
          <w:noProof w:val="0"/>
          <w:color w:val="0D0D0D"/>
          <w:lang w:val="en-US"/>
        </w:rPr>
        <w:t xml:space="preserve"> </w:t>
      </w:r>
      <w:proofErr w:type="spellStart"/>
      <w:r w:rsidRPr="00555F85">
        <w:rPr>
          <w:bCs/>
          <w:noProof w:val="0"/>
          <w:color w:val="0D0D0D"/>
          <w:lang w:val="en-US"/>
        </w:rPr>
        <w:t>pentru</w:t>
      </w:r>
      <w:proofErr w:type="spellEnd"/>
      <w:r w:rsidRPr="00555F85">
        <w:rPr>
          <w:bCs/>
          <w:noProof w:val="0"/>
          <w:color w:val="0D0D0D"/>
          <w:lang w:val="en-US"/>
        </w:rPr>
        <w:t xml:space="preserve"> 2030 </w:t>
      </w:r>
      <w:proofErr w:type="spellStart"/>
      <w:r w:rsidRPr="00555F85">
        <w:rPr>
          <w:bCs/>
          <w:noProof w:val="0"/>
          <w:color w:val="0D0D0D"/>
          <w:lang w:val="en-US"/>
        </w:rPr>
        <w:t>privind</w:t>
      </w:r>
      <w:proofErr w:type="spellEnd"/>
      <w:r w:rsidRPr="00555F85">
        <w:rPr>
          <w:bCs/>
          <w:noProof w:val="0"/>
          <w:color w:val="0D0D0D"/>
          <w:lang w:val="en-US"/>
        </w:rPr>
        <w:t xml:space="preserve"> </w:t>
      </w:r>
      <w:proofErr w:type="spellStart"/>
      <w:r w:rsidRPr="00555F85">
        <w:rPr>
          <w:bCs/>
          <w:noProof w:val="0"/>
          <w:color w:val="0D0D0D"/>
          <w:lang w:val="en-US"/>
        </w:rPr>
        <w:t>energia</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w:t>
      </w:r>
      <w:proofErr w:type="spellStart"/>
      <w:r w:rsidRPr="00555F85">
        <w:rPr>
          <w:bCs/>
          <w:noProof w:val="0"/>
          <w:color w:val="0D0D0D"/>
          <w:lang w:val="en-US"/>
        </w:rPr>
        <w:t>prevăzut</w:t>
      </w:r>
      <w:proofErr w:type="spellEnd"/>
      <w:r w:rsidRPr="00555F85">
        <w:rPr>
          <w:bCs/>
          <w:noProof w:val="0"/>
          <w:color w:val="0D0D0D"/>
          <w:lang w:val="en-US"/>
        </w:rPr>
        <w:t xml:space="preserve"> la </w:t>
      </w:r>
      <w:proofErr w:type="spellStart"/>
      <w:r w:rsidRPr="00555F85">
        <w:rPr>
          <w:bCs/>
          <w:noProof w:val="0"/>
          <w:color w:val="0D0D0D"/>
          <w:lang w:val="en-US"/>
        </w:rPr>
        <w:t>articolul</w:t>
      </w:r>
      <w:proofErr w:type="spellEnd"/>
      <w:r w:rsidRPr="00555F85">
        <w:rPr>
          <w:bCs/>
          <w:noProof w:val="0"/>
          <w:color w:val="0D0D0D"/>
          <w:lang w:val="en-US"/>
        </w:rPr>
        <w:t xml:space="preserve"> 3 </w:t>
      </w:r>
      <w:proofErr w:type="spellStart"/>
      <w:r w:rsidRPr="00555F85">
        <w:rPr>
          <w:bCs/>
          <w:noProof w:val="0"/>
          <w:color w:val="0D0D0D"/>
          <w:lang w:val="en-US"/>
        </w:rPr>
        <w:t>alineatul</w:t>
      </w:r>
      <w:proofErr w:type="spellEnd"/>
      <w:r w:rsidRPr="00555F85">
        <w:rPr>
          <w:bCs/>
          <w:noProof w:val="0"/>
          <w:color w:val="0D0D0D"/>
          <w:lang w:val="en-US"/>
        </w:rPr>
        <w:t xml:space="preserve"> (1) din </w:t>
      </w:r>
      <w:proofErr w:type="spellStart"/>
      <w:r w:rsidRPr="00555F85">
        <w:rPr>
          <w:bCs/>
          <w:noProof w:val="0"/>
          <w:color w:val="0D0D0D"/>
          <w:lang w:val="en-US"/>
        </w:rPr>
        <w:t>Directiva</w:t>
      </w:r>
      <w:proofErr w:type="spellEnd"/>
      <w:r w:rsidRPr="00555F85">
        <w:rPr>
          <w:bCs/>
          <w:noProof w:val="0"/>
          <w:color w:val="0D0D0D"/>
          <w:lang w:val="en-US"/>
        </w:rPr>
        <w:t xml:space="preserve"> (UE) 2018/2001 </w:t>
      </w:r>
      <w:proofErr w:type="spellStart"/>
      <w:r w:rsidRPr="00555F85">
        <w:rPr>
          <w:bCs/>
          <w:noProof w:val="0"/>
          <w:color w:val="0D0D0D"/>
          <w:lang w:val="en-US"/>
        </w:rPr>
        <w:t>și</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sprijinul</w:t>
      </w:r>
      <w:proofErr w:type="spellEnd"/>
      <w:r w:rsidRPr="00555F85">
        <w:rPr>
          <w:bCs/>
          <w:noProof w:val="0"/>
          <w:color w:val="0D0D0D"/>
          <w:lang w:val="en-US"/>
        </w:rPr>
        <w:t xml:space="preserve"> </w:t>
      </w:r>
      <w:proofErr w:type="spellStart"/>
      <w:r w:rsidRPr="00555F85">
        <w:rPr>
          <w:bCs/>
          <w:noProof w:val="0"/>
          <w:color w:val="0D0D0D"/>
          <w:lang w:val="en-US"/>
        </w:rPr>
        <w:t>atingerii</w:t>
      </w:r>
      <w:proofErr w:type="spellEnd"/>
      <w:r w:rsidRPr="00555F85">
        <w:rPr>
          <w:bCs/>
          <w:noProof w:val="0"/>
          <w:color w:val="0D0D0D"/>
          <w:lang w:val="en-US"/>
        </w:rPr>
        <w:t xml:space="preserve"> </w:t>
      </w:r>
      <w:proofErr w:type="spellStart"/>
      <w:r w:rsidRPr="00555F85">
        <w:rPr>
          <w:bCs/>
          <w:noProof w:val="0"/>
          <w:color w:val="0D0D0D"/>
          <w:lang w:val="en-US"/>
        </w:rPr>
        <w:t>obiectivului</w:t>
      </w:r>
      <w:proofErr w:type="spellEnd"/>
      <w:r w:rsidRPr="00555F85">
        <w:rPr>
          <w:bCs/>
          <w:noProof w:val="0"/>
          <w:color w:val="0D0D0D"/>
          <w:lang w:val="en-US"/>
        </w:rPr>
        <w:t xml:space="preserve"> </w:t>
      </w:r>
      <w:proofErr w:type="spellStart"/>
      <w:r w:rsidRPr="00555F85">
        <w:rPr>
          <w:bCs/>
          <w:noProof w:val="0"/>
          <w:color w:val="0D0D0D"/>
          <w:lang w:val="en-US"/>
        </w:rPr>
        <w:t>neutralității</w:t>
      </w:r>
      <w:proofErr w:type="spellEnd"/>
      <w:r w:rsidRPr="00555F85">
        <w:rPr>
          <w:bCs/>
          <w:noProof w:val="0"/>
          <w:color w:val="0D0D0D"/>
          <w:lang w:val="en-US"/>
        </w:rPr>
        <w:t xml:space="preserve"> </w:t>
      </w:r>
      <w:proofErr w:type="spellStart"/>
      <w:r w:rsidRPr="00555F85">
        <w:rPr>
          <w:bCs/>
          <w:noProof w:val="0"/>
          <w:color w:val="0D0D0D"/>
          <w:lang w:val="en-US"/>
        </w:rPr>
        <w:t>climatice</w:t>
      </w:r>
      <w:proofErr w:type="spellEnd"/>
      <w:r w:rsidRPr="00555F85">
        <w:rPr>
          <w:bCs/>
          <w:noProof w:val="0"/>
          <w:color w:val="0D0D0D"/>
          <w:lang w:val="en-US"/>
        </w:rPr>
        <w:t xml:space="preserve"> </w:t>
      </w:r>
      <w:proofErr w:type="spellStart"/>
      <w:r w:rsidRPr="00555F85">
        <w:rPr>
          <w:bCs/>
          <w:noProof w:val="0"/>
          <w:color w:val="0D0D0D"/>
          <w:lang w:val="en-US"/>
        </w:rPr>
        <w:t>până</w:t>
      </w:r>
      <w:proofErr w:type="spellEnd"/>
      <w:r w:rsidRPr="00555F85">
        <w:rPr>
          <w:bCs/>
          <w:noProof w:val="0"/>
          <w:color w:val="0D0D0D"/>
          <w:lang w:val="en-US"/>
        </w:rPr>
        <w:t xml:space="preserve"> cel </w:t>
      </w:r>
      <w:proofErr w:type="spellStart"/>
      <w:r w:rsidRPr="00555F85">
        <w:rPr>
          <w:bCs/>
          <w:noProof w:val="0"/>
          <w:color w:val="0D0D0D"/>
          <w:lang w:val="en-US"/>
        </w:rPr>
        <w:t>târziu</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2050,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conformitate</w:t>
      </w:r>
      <w:proofErr w:type="spellEnd"/>
      <w:r w:rsidRPr="00555F85">
        <w:rPr>
          <w:bCs/>
          <w:noProof w:val="0"/>
          <w:color w:val="0D0D0D"/>
          <w:lang w:val="en-US"/>
        </w:rPr>
        <w:t xml:space="preserve"> cu </w:t>
      </w:r>
      <w:proofErr w:type="spellStart"/>
      <w:r w:rsidRPr="00555F85">
        <w:rPr>
          <w:bCs/>
          <w:noProof w:val="0"/>
          <w:color w:val="0D0D0D"/>
          <w:lang w:val="en-US"/>
        </w:rPr>
        <w:t>Regulamentul</w:t>
      </w:r>
      <w:proofErr w:type="spellEnd"/>
      <w:r w:rsidRPr="00555F85">
        <w:rPr>
          <w:bCs/>
          <w:noProof w:val="0"/>
          <w:color w:val="0D0D0D"/>
          <w:lang w:val="en-US"/>
        </w:rPr>
        <w:t xml:space="preserve"> (UE) 2021/1119. </w:t>
      </w:r>
      <w:proofErr w:type="spellStart"/>
      <w:r w:rsidRPr="00555F85">
        <w:rPr>
          <w:bCs/>
          <w:noProof w:val="0"/>
          <w:color w:val="0D0D0D"/>
          <w:lang w:val="en-US"/>
        </w:rPr>
        <w:t>Statelor</w:t>
      </w:r>
      <w:proofErr w:type="spellEnd"/>
      <w:r w:rsidRPr="00555F85">
        <w:rPr>
          <w:bCs/>
          <w:noProof w:val="0"/>
          <w:color w:val="0D0D0D"/>
          <w:lang w:val="en-US"/>
        </w:rPr>
        <w:t xml:space="preserve"> </w:t>
      </w:r>
      <w:proofErr w:type="spellStart"/>
      <w:r w:rsidRPr="00555F85">
        <w:rPr>
          <w:bCs/>
          <w:noProof w:val="0"/>
          <w:color w:val="0D0D0D"/>
          <w:lang w:val="en-US"/>
        </w:rPr>
        <w:t>membre</w:t>
      </w:r>
      <w:proofErr w:type="spellEnd"/>
      <w:r w:rsidRPr="00555F85">
        <w:rPr>
          <w:bCs/>
          <w:noProof w:val="0"/>
          <w:color w:val="0D0D0D"/>
          <w:lang w:val="en-US"/>
        </w:rPr>
        <w:t xml:space="preserve"> </w:t>
      </w:r>
      <w:proofErr w:type="spellStart"/>
      <w:r w:rsidRPr="00555F85">
        <w:rPr>
          <w:bCs/>
          <w:noProof w:val="0"/>
          <w:color w:val="0D0D0D"/>
          <w:lang w:val="en-US"/>
        </w:rPr>
        <w:t>ar</w:t>
      </w:r>
      <w:proofErr w:type="spellEnd"/>
      <w:r w:rsidRPr="00555F85">
        <w:rPr>
          <w:bCs/>
          <w:noProof w:val="0"/>
          <w:color w:val="0D0D0D"/>
          <w:lang w:val="en-US"/>
        </w:rPr>
        <w:t xml:space="preserve"> </w:t>
      </w:r>
      <w:proofErr w:type="spellStart"/>
      <w:r w:rsidRPr="00555F85">
        <w:rPr>
          <w:bCs/>
          <w:noProof w:val="0"/>
          <w:color w:val="0D0D0D"/>
          <w:lang w:val="en-US"/>
        </w:rPr>
        <w:t>trebui</w:t>
      </w:r>
      <w:proofErr w:type="spellEnd"/>
      <w:r w:rsidRPr="00555F85">
        <w:rPr>
          <w:bCs/>
          <w:noProof w:val="0"/>
          <w:color w:val="0D0D0D"/>
          <w:lang w:val="en-US"/>
        </w:rPr>
        <w:t xml:space="preserve"> </w:t>
      </w:r>
      <w:proofErr w:type="spellStart"/>
      <w:r w:rsidRPr="00555F85">
        <w:rPr>
          <w:bCs/>
          <w:noProof w:val="0"/>
          <w:color w:val="0D0D0D"/>
          <w:lang w:val="en-US"/>
        </w:rPr>
        <w:t>să</w:t>
      </w:r>
      <w:proofErr w:type="spellEnd"/>
      <w:r w:rsidRPr="00555F85">
        <w:rPr>
          <w:bCs/>
          <w:noProof w:val="0"/>
          <w:color w:val="0D0D0D"/>
          <w:lang w:val="en-US"/>
        </w:rPr>
        <w:t xml:space="preserve"> li se </w:t>
      </w:r>
      <w:proofErr w:type="spellStart"/>
      <w:r w:rsidRPr="00555F85">
        <w:rPr>
          <w:bCs/>
          <w:noProof w:val="0"/>
          <w:color w:val="0D0D0D"/>
          <w:lang w:val="en-US"/>
        </w:rPr>
        <w:t>permită</w:t>
      </w:r>
      <w:proofErr w:type="spellEnd"/>
      <w:r w:rsidRPr="00555F85">
        <w:rPr>
          <w:bCs/>
          <w:noProof w:val="0"/>
          <w:color w:val="0D0D0D"/>
          <w:lang w:val="en-US"/>
        </w:rPr>
        <w:t xml:space="preserve"> </w:t>
      </w:r>
      <w:proofErr w:type="spellStart"/>
      <w:r w:rsidRPr="00555F85">
        <w:rPr>
          <w:bCs/>
          <w:noProof w:val="0"/>
          <w:color w:val="0D0D0D"/>
          <w:lang w:val="en-US"/>
        </w:rPr>
        <w:t>să</w:t>
      </w:r>
      <w:proofErr w:type="spellEnd"/>
      <w:r w:rsidRPr="00555F85">
        <w:rPr>
          <w:bCs/>
          <w:noProof w:val="0"/>
          <w:color w:val="0D0D0D"/>
          <w:lang w:val="en-US"/>
        </w:rPr>
        <w:t xml:space="preserve"> </w:t>
      </w:r>
      <w:proofErr w:type="spellStart"/>
      <w:r w:rsidRPr="00555F85">
        <w:rPr>
          <w:bCs/>
          <w:noProof w:val="0"/>
          <w:color w:val="0D0D0D"/>
          <w:lang w:val="en-US"/>
        </w:rPr>
        <w:t>utilizeze</w:t>
      </w:r>
      <w:proofErr w:type="spellEnd"/>
      <w:r w:rsidRPr="00555F85">
        <w:rPr>
          <w:bCs/>
          <w:noProof w:val="0"/>
          <w:color w:val="0D0D0D"/>
          <w:lang w:val="en-US"/>
        </w:rPr>
        <w:t xml:space="preserve"> </w:t>
      </w:r>
      <w:proofErr w:type="spellStart"/>
      <w:r w:rsidRPr="00555F85">
        <w:rPr>
          <w:bCs/>
          <w:noProof w:val="0"/>
          <w:color w:val="0D0D0D"/>
          <w:lang w:val="en-US"/>
        </w:rPr>
        <w:t>documentele</w:t>
      </w:r>
      <w:proofErr w:type="spellEnd"/>
      <w:r w:rsidRPr="00555F85">
        <w:rPr>
          <w:bCs/>
          <w:noProof w:val="0"/>
          <w:color w:val="0D0D0D"/>
          <w:lang w:val="en-US"/>
        </w:rPr>
        <w:t xml:space="preserve"> </w:t>
      </w:r>
      <w:proofErr w:type="spellStart"/>
      <w:r w:rsidRPr="00555F85">
        <w:rPr>
          <w:bCs/>
          <w:noProof w:val="0"/>
          <w:color w:val="0D0D0D"/>
          <w:lang w:val="en-US"/>
        </w:rPr>
        <w:t>existente</w:t>
      </w:r>
      <w:proofErr w:type="spellEnd"/>
      <w:r w:rsidRPr="00555F85">
        <w:rPr>
          <w:bCs/>
          <w:noProof w:val="0"/>
          <w:color w:val="0D0D0D"/>
          <w:lang w:val="en-US"/>
        </w:rPr>
        <w:t xml:space="preserve"> de </w:t>
      </w:r>
      <w:proofErr w:type="spellStart"/>
      <w:r w:rsidRPr="00555F85">
        <w:rPr>
          <w:bCs/>
          <w:noProof w:val="0"/>
          <w:color w:val="0D0D0D"/>
          <w:lang w:val="en-US"/>
        </w:rPr>
        <w:t>amenajare</w:t>
      </w:r>
      <w:proofErr w:type="spellEnd"/>
      <w:r w:rsidRPr="00555F85">
        <w:rPr>
          <w:bCs/>
          <w:noProof w:val="0"/>
          <w:color w:val="0D0D0D"/>
          <w:lang w:val="en-US"/>
        </w:rPr>
        <w:t xml:space="preserve"> a </w:t>
      </w:r>
      <w:proofErr w:type="spellStart"/>
      <w:r w:rsidRPr="00555F85">
        <w:rPr>
          <w:bCs/>
          <w:noProof w:val="0"/>
          <w:color w:val="0D0D0D"/>
          <w:lang w:val="en-US"/>
        </w:rPr>
        <w:t>teritoriului</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scopul</w:t>
      </w:r>
      <w:proofErr w:type="spellEnd"/>
      <w:r w:rsidRPr="00555F85">
        <w:rPr>
          <w:bCs/>
          <w:noProof w:val="0"/>
          <w:color w:val="0D0D0D"/>
          <w:lang w:val="en-US"/>
        </w:rPr>
        <w:t xml:space="preserve"> </w:t>
      </w:r>
      <w:proofErr w:type="spellStart"/>
      <w:r w:rsidRPr="00555F85">
        <w:rPr>
          <w:bCs/>
          <w:noProof w:val="0"/>
          <w:color w:val="0D0D0D"/>
          <w:lang w:val="en-US"/>
        </w:rPr>
        <w:t>identificării</w:t>
      </w:r>
      <w:proofErr w:type="spellEnd"/>
      <w:r w:rsidRPr="00555F85">
        <w:rPr>
          <w:bCs/>
          <w:noProof w:val="0"/>
          <w:color w:val="0D0D0D"/>
          <w:lang w:val="en-US"/>
        </w:rPr>
        <w:t xml:space="preserve"> </w:t>
      </w:r>
      <w:proofErr w:type="spellStart"/>
      <w:r w:rsidRPr="00555F85">
        <w:rPr>
          <w:bCs/>
          <w:noProof w:val="0"/>
          <w:color w:val="0D0D0D"/>
          <w:lang w:val="en-US"/>
        </w:rPr>
        <w:t>zonelor</w:t>
      </w:r>
      <w:proofErr w:type="spellEnd"/>
      <w:r w:rsidRPr="00555F85">
        <w:rPr>
          <w:bCs/>
          <w:noProof w:val="0"/>
          <w:color w:val="0D0D0D"/>
          <w:lang w:val="en-US"/>
        </w:rPr>
        <w:t xml:space="preserve"> respective. </w:t>
      </w:r>
      <w:proofErr w:type="spellStart"/>
      <w:r w:rsidRPr="00555F85">
        <w:rPr>
          <w:bCs/>
          <w:noProof w:val="0"/>
          <w:color w:val="0D0D0D"/>
          <w:lang w:val="en-US"/>
        </w:rPr>
        <w:t>Statele</w:t>
      </w:r>
      <w:proofErr w:type="spellEnd"/>
      <w:r w:rsidRPr="00555F85">
        <w:rPr>
          <w:bCs/>
          <w:noProof w:val="0"/>
          <w:color w:val="0D0D0D"/>
          <w:lang w:val="en-US"/>
        </w:rPr>
        <w:t xml:space="preserve"> </w:t>
      </w:r>
      <w:proofErr w:type="spellStart"/>
      <w:r w:rsidRPr="00555F85">
        <w:rPr>
          <w:bCs/>
          <w:noProof w:val="0"/>
          <w:color w:val="0D0D0D"/>
          <w:lang w:val="en-US"/>
        </w:rPr>
        <w:t>membre</w:t>
      </w:r>
      <w:proofErr w:type="spellEnd"/>
      <w:r w:rsidRPr="00555F85">
        <w:rPr>
          <w:bCs/>
          <w:noProof w:val="0"/>
          <w:color w:val="0D0D0D"/>
          <w:lang w:val="en-US"/>
        </w:rPr>
        <w:t xml:space="preserve"> </w:t>
      </w:r>
      <w:proofErr w:type="spellStart"/>
      <w:r w:rsidRPr="00555F85">
        <w:rPr>
          <w:bCs/>
          <w:noProof w:val="0"/>
          <w:color w:val="0D0D0D"/>
          <w:lang w:val="en-US"/>
        </w:rPr>
        <w:t>ar</w:t>
      </w:r>
      <w:proofErr w:type="spellEnd"/>
      <w:r w:rsidRPr="00555F85">
        <w:rPr>
          <w:bCs/>
          <w:noProof w:val="0"/>
          <w:color w:val="0D0D0D"/>
          <w:lang w:val="en-US"/>
        </w:rPr>
        <w:t xml:space="preserve"> </w:t>
      </w:r>
      <w:proofErr w:type="spellStart"/>
      <w:r w:rsidRPr="00555F85">
        <w:rPr>
          <w:bCs/>
          <w:noProof w:val="0"/>
          <w:color w:val="0D0D0D"/>
          <w:lang w:val="en-US"/>
        </w:rPr>
        <w:t>trebui</w:t>
      </w:r>
      <w:proofErr w:type="spellEnd"/>
      <w:r w:rsidRPr="00555F85">
        <w:rPr>
          <w:bCs/>
          <w:noProof w:val="0"/>
          <w:color w:val="0D0D0D"/>
          <w:lang w:val="en-US"/>
        </w:rPr>
        <w:t xml:space="preserve"> </w:t>
      </w:r>
      <w:proofErr w:type="spellStart"/>
      <w:r w:rsidRPr="00555F85">
        <w:rPr>
          <w:bCs/>
          <w:noProof w:val="0"/>
          <w:color w:val="0D0D0D"/>
          <w:lang w:val="en-US"/>
        </w:rPr>
        <w:t>să</w:t>
      </w:r>
      <w:proofErr w:type="spellEnd"/>
      <w:r w:rsidRPr="00555F85">
        <w:rPr>
          <w:bCs/>
          <w:noProof w:val="0"/>
          <w:color w:val="0D0D0D"/>
          <w:lang w:val="en-US"/>
        </w:rPr>
        <w:t xml:space="preserve"> se </w:t>
      </w:r>
      <w:proofErr w:type="spellStart"/>
      <w:r w:rsidRPr="00555F85">
        <w:rPr>
          <w:bCs/>
          <w:noProof w:val="0"/>
          <w:color w:val="0D0D0D"/>
          <w:lang w:val="en-US"/>
        </w:rPr>
        <w:t>asigure</w:t>
      </w:r>
      <w:proofErr w:type="spellEnd"/>
      <w:r w:rsidRPr="00555F85">
        <w:rPr>
          <w:bCs/>
          <w:noProof w:val="0"/>
          <w:color w:val="0D0D0D"/>
          <w:lang w:val="en-US"/>
        </w:rPr>
        <w:t xml:space="preserve"> </w:t>
      </w:r>
      <w:proofErr w:type="spellStart"/>
      <w:r w:rsidRPr="00555F85">
        <w:rPr>
          <w:bCs/>
          <w:noProof w:val="0"/>
          <w:color w:val="0D0D0D"/>
          <w:lang w:val="en-US"/>
        </w:rPr>
        <w:t>că</w:t>
      </w:r>
      <w:proofErr w:type="spellEnd"/>
      <w:r w:rsidRPr="00555F85">
        <w:rPr>
          <w:bCs/>
          <w:noProof w:val="0"/>
          <w:color w:val="0D0D0D"/>
          <w:lang w:val="en-US"/>
        </w:rPr>
        <w:t xml:space="preserve"> </w:t>
      </w:r>
      <w:proofErr w:type="spellStart"/>
      <w:r w:rsidRPr="00555F85">
        <w:rPr>
          <w:bCs/>
          <w:noProof w:val="0"/>
          <w:color w:val="0D0D0D"/>
          <w:lang w:val="en-US"/>
        </w:rPr>
        <w:t>astfel</w:t>
      </w:r>
      <w:proofErr w:type="spellEnd"/>
      <w:r w:rsidRPr="00555F85">
        <w:rPr>
          <w:bCs/>
          <w:noProof w:val="0"/>
          <w:color w:val="0D0D0D"/>
          <w:lang w:val="en-US"/>
        </w:rPr>
        <w:t xml:space="preserve"> de zone </w:t>
      </w:r>
      <w:proofErr w:type="spellStart"/>
      <w:r w:rsidRPr="00555F85">
        <w:rPr>
          <w:bCs/>
          <w:noProof w:val="0"/>
          <w:color w:val="0D0D0D"/>
          <w:lang w:val="en-US"/>
        </w:rPr>
        <w:t>reflectă</w:t>
      </w:r>
      <w:proofErr w:type="spellEnd"/>
      <w:r w:rsidRPr="00555F85">
        <w:rPr>
          <w:bCs/>
          <w:noProof w:val="0"/>
          <w:color w:val="0D0D0D"/>
          <w:lang w:val="en-US"/>
        </w:rPr>
        <w:t xml:space="preserve"> </w:t>
      </w:r>
      <w:proofErr w:type="spellStart"/>
      <w:r w:rsidRPr="00555F85">
        <w:rPr>
          <w:bCs/>
          <w:noProof w:val="0"/>
          <w:color w:val="0D0D0D"/>
          <w:lang w:val="en-US"/>
        </w:rPr>
        <w:t>traiectoriile</w:t>
      </w:r>
      <w:proofErr w:type="spellEnd"/>
      <w:r w:rsidRPr="00555F85">
        <w:rPr>
          <w:bCs/>
          <w:noProof w:val="0"/>
          <w:color w:val="0D0D0D"/>
          <w:lang w:val="en-US"/>
        </w:rPr>
        <w:t xml:space="preserve"> lor estimate </w:t>
      </w:r>
      <w:proofErr w:type="spellStart"/>
      <w:r w:rsidRPr="00555F85">
        <w:rPr>
          <w:bCs/>
          <w:noProof w:val="0"/>
          <w:color w:val="0D0D0D"/>
          <w:lang w:val="en-US"/>
        </w:rPr>
        <w:t>și</w:t>
      </w:r>
      <w:proofErr w:type="spellEnd"/>
      <w:r w:rsidRPr="00555F85">
        <w:rPr>
          <w:bCs/>
          <w:noProof w:val="0"/>
          <w:color w:val="0D0D0D"/>
          <w:lang w:val="en-US"/>
        </w:rPr>
        <w:t xml:space="preserve"> </w:t>
      </w:r>
      <w:proofErr w:type="spellStart"/>
      <w:r w:rsidRPr="00555F85">
        <w:rPr>
          <w:bCs/>
          <w:noProof w:val="0"/>
          <w:color w:val="0D0D0D"/>
          <w:lang w:val="en-US"/>
        </w:rPr>
        <w:t>capacitatea</w:t>
      </w:r>
      <w:proofErr w:type="spellEnd"/>
      <w:r w:rsidRPr="00555F85">
        <w:rPr>
          <w:bCs/>
          <w:noProof w:val="0"/>
          <w:color w:val="0D0D0D"/>
          <w:lang w:val="en-US"/>
        </w:rPr>
        <w:t xml:space="preserve"> </w:t>
      </w:r>
      <w:proofErr w:type="spellStart"/>
      <w:r w:rsidRPr="00555F85">
        <w:rPr>
          <w:bCs/>
          <w:noProof w:val="0"/>
          <w:color w:val="0D0D0D"/>
          <w:lang w:val="en-US"/>
        </w:rPr>
        <w:t>instalată</w:t>
      </w:r>
      <w:proofErr w:type="spellEnd"/>
      <w:r w:rsidRPr="00555F85">
        <w:rPr>
          <w:bCs/>
          <w:noProof w:val="0"/>
          <w:color w:val="0D0D0D"/>
          <w:lang w:val="en-US"/>
        </w:rPr>
        <w:t xml:space="preserve"> </w:t>
      </w:r>
      <w:proofErr w:type="spellStart"/>
      <w:r w:rsidRPr="00555F85">
        <w:rPr>
          <w:bCs/>
          <w:noProof w:val="0"/>
          <w:color w:val="0D0D0D"/>
          <w:lang w:val="en-US"/>
        </w:rPr>
        <w:t>totală</w:t>
      </w:r>
      <w:proofErr w:type="spellEnd"/>
      <w:r w:rsidRPr="00555F85">
        <w:rPr>
          <w:bCs/>
          <w:noProof w:val="0"/>
          <w:color w:val="0D0D0D"/>
          <w:lang w:val="en-US"/>
        </w:rPr>
        <w:t xml:space="preserve"> </w:t>
      </w:r>
      <w:proofErr w:type="spellStart"/>
      <w:r w:rsidRPr="00555F85">
        <w:rPr>
          <w:bCs/>
          <w:noProof w:val="0"/>
          <w:color w:val="0D0D0D"/>
          <w:lang w:val="en-US"/>
        </w:rPr>
        <w:t>planificată</w:t>
      </w:r>
      <w:proofErr w:type="spellEnd"/>
      <w:r w:rsidRPr="00555F85">
        <w:rPr>
          <w:bCs/>
          <w:noProof w:val="0"/>
          <w:color w:val="0D0D0D"/>
          <w:lang w:val="en-US"/>
        </w:rPr>
        <w:t xml:space="preserve"> </w:t>
      </w:r>
      <w:proofErr w:type="spellStart"/>
      <w:r w:rsidRPr="00555F85">
        <w:rPr>
          <w:bCs/>
          <w:noProof w:val="0"/>
          <w:color w:val="0D0D0D"/>
          <w:lang w:val="en-US"/>
        </w:rPr>
        <w:t>și</w:t>
      </w:r>
      <w:proofErr w:type="spellEnd"/>
      <w:r w:rsidRPr="00555F85">
        <w:rPr>
          <w:bCs/>
          <w:noProof w:val="0"/>
          <w:color w:val="0D0D0D"/>
          <w:lang w:val="en-US"/>
        </w:rPr>
        <w:t xml:space="preserve"> </w:t>
      </w:r>
      <w:proofErr w:type="spellStart"/>
      <w:r w:rsidRPr="00555F85">
        <w:rPr>
          <w:bCs/>
          <w:noProof w:val="0"/>
          <w:color w:val="0D0D0D"/>
          <w:lang w:val="en-US"/>
        </w:rPr>
        <w:t>ar</w:t>
      </w:r>
      <w:proofErr w:type="spellEnd"/>
      <w:r w:rsidRPr="00555F85">
        <w:rPr>
          <w:bCs/>
          <w:noProof w:val="0"/>
          <w:color w:val="0D0D0D"/>
          <w:lang w:val="en-US"/>
        </w:rPr>
        <w:t xml:space="preserve"> </w:t>
      </w:r>
      <w:proofErr w:type="spellStart"/>
      <w:r w:rsidRPr="00555F85">
        <w:rPr>
          <w:bCs/>
          <w:noProof w:val="0"/>
          <w:color w:val="0D0D0D"/>
          <w:lang w:val="en-US"/>
        </w:rPr>
        <w:t>trebui</w:t>
      </w:r>
      <w:proofErr w:type="spellEnd"/>
      <w:r w:rsidRPr="00555F85">
        <w:rPr>
          <w:bCs/>
          <w:noProof w:val="0"/>
          <w:color w:val="0D0D0D"/>
          <w:lang w:val="en-US"/>
        </w:rPr>
        <w:t xml:space="preserve"> </w:t>
      </w:r>
      <w:proofErr w:type="spellStart"/>
      <w:r w:rsidRPr="00555F85">
        <w:rPr>
          <w:bCs/>
          <w:noProof w:val="0"/>
          <w:color w:val="0D0D0D"/>
          <w:lang w:val="en-US"/>
        </w:rPr>
        <w:t>să</w:t>
      </w:r>
      <w:proofErr w:type="spellEnd"/>
      <w:r w:rsidRPr="00555F85">
        <w:rPr>
          <w:bCs/>
          <w:noProof w:val="0"/>
          <w:color w:val="0D0D0D"/>
          <w:lang w:val="en-US"/>
        </w:rPr>
        <w:t xml:space="preserve"> </w:t>
      </w:r>
      <w:proofErr w:type="spellStart"/>
      <w:r w:rsidRPr="00555F85">
        <w:rPr>
          <w:bCs/>
          <w:noProof w:val="0"/>
          <w:color w:val="0D0D0D"/>
          <w:lang w:val="en-US"/>
        </w:rPr>
        <w:t>identifice</w:t>
      </w:r>
      <w:proofErr w:type="spellEnd"/>
      <w:r w:rsidRPr="00555F85">
        <w:rPr>
          <w:bCs/>
          <w:noProof w:val="0"/>
          <w:color w:val="0D0D0D"/>
          <w:lang w:val="en-US"/>
        </w:rPr>
        <w:t xml:space="preserve"> </w:t>
      </w:r>
      <w:proofErr w:type="spellStart"/>
      <w:r w:rsidRPr="00555F85">
        <w:rPr>
          <w:bCs/>
          <w:noProof w:val="0"/>
          <w:color w:val="0D0D0D"/>
          <w:lang w:val="en-US"/>
        </w:rPr>
        <w:t>domenii</w:t>
      </w:r>
      <w:proofErr w:type="spellEnd"/>
      <w:r w:rsidRPr="00555F85">
        <w:rPr>
          <w:bCs/>
          <w:noProof w:val="0"/>
          <w:color w:val="0D0D0D"/>
          <w:lang w:val="en-US"/>
        </w:rPr>
        <w:t xml:space="preserve"> </w:t>
      </w:r>
      <w:proofErr w:type="spellStart"/>
      <w:r w:rsidRPr="00555F85">
        <w:rPr>
          <w:bCs/>
          <w:noProof w:val="0"/>
          <w:color w:val="0D0D0D"/>
          <w:lang w:val="en-US"/>
        </w:rPr>
        <w:t>specifice</w:t>
      </w:r>
      <w:proofErr w:type="spellEnd"/>
      <w:r w:rsidRPr="00555F85">
        <w:rPr>
          <w:bCs/>
          <w:noProof w:val="0"/>
          <w:color w:val="0D0D0D"/>
          <w:lang w:val="en-US"/>
        </w:rPr>
        <w:t xml:space="preserve"> </w:t>
      </w:r>
      <w:proofErr w:type="spellStart"/>
      <w:r w:rsidRPr="00555F85">
        <w:rPr>
          <w:bCs/>
          <w:noProof w:val="0"/>
          <w:color w:val="0D0D0D"/>
          <w:lang w:val="en-US"/>
        </w:rPr>
        <w:t>pentru</w:t>
      </w:r>
      <w:proofErr w:type="spellEnd"/>
      <w:r w:rsidRPr="00555F85">
        <w:rPr>
          <w:bCs/>
          <w:noProof w:val="0"/>
          <w:color w:val="0D0D0D"/>
          <w:lang w:val="en-US"/>
        </w:rPr>
        <w:t xml:space="preserve"> </w:t>
      </w:r>
      <w:proofErr w:type="spellStart"/>
      <w:r w:rsidRPr="00555F85">
        <w:rPr>
          <w:bCs/>
          <w:noProof w:val="0"/>
          <w:color w:val="0D0D0D"/>
          <w:lang w:val="en-US"/>
        </w:rPr>
        <w:t>diferitele</w:t>
      </w:r>
      <w:proofErr w:type="spellEnd"/>
      <w:r w:rsidRPr="00555F85">
        <w:rPr>
          <w:bCs/>
          <w:noProof w:val="0"/>
          <w:color w:val="0D0D0D"/>
          <w:lang w:val="en-US"/>
        </w:rPr>
        <w:t xml:space="preserve"> </w:t>
      </w:r>
      <w:proofErr w:type="spellStart"/>
      <w:r w:rsidRPr="00555F85">
        <w:rPr>
          <w:bCs/>
          <w:noProof w:val="0"/>
          <w:color w:val="0D0D0D"/>
          <w:lang w:val="en-US"/>
        </w:rPr>
        <w:t>tipuri</w:t>
      </w:r>
      <w:proofErr w:type="spellEnd"/>
      <w:r w:rsidRPr="00555F85">
        <w:rPr>
          <w:bCs/>
          <w:noProof w:val="0"/>
          <w:color w:val="0D0D0D"/>
          <w:lang w:val="en-US"/>
        </w:rPr>
        <w:t xml:space="preserve"> de </w:t>
      </w:r>
      <w:proofErr w:type="spellStart"/>
      <w:r w:rsidRPr="00555F85">
        <w:rPr>
          <w:bCs/>
          <w:noProof w:val="0"/>
          <w:color w:val="0D0D0D"/>
          <w:lang w:val="en-US"/>
        </w:rPr>
        <w:t>tehnologii</w:t>
      </w:r>
      <w:proofErr w:type="spellEnd"/>
      <w:r w:rsidRPr="00555F85">
        <w:rPr>
          <w:bCs/>
          <w:noProof w:val="0"/>
          <w:color w:val="0D0D0D"/>
          <w:lang w:val="en-US"/>
        </w:rPr>
        <w:t xml:space="preserve"> din </w:t>
      </w:r>
      <w:proofErr w:type="spellStart"/>
      <w:r w:rsidRPr="00555F85">
        <w:rPr>
          <w:bCs/>
          <w:noProof w:val="0"/>
          <w:color w:val="0D0D0D"/>
          <w:lang w:val="en-US"/>
        </w:rPr>
        <w:t>domeniul</w:t>
      </w:r>
      <w:proofErr w:type="spellEnd"/>
      <w:r w:rsidRPr="00555F85">
        <w:rPr>
          <w:bCs/>
          <w:noProof w:val="0"/>
          <w:color w:val="0D0D0D"/>
          <w:lang w:val="en-US"/>
        </w:rPr>
        <w:t xml:space="preserve"> </w:t>
      </w:r>
      <w:proofErr w:type="spellStart"/>
      <w:r w:rsidRPr="00555F85">
        <w:rPr>
          <w:bCs/>
          <w:noProof w:val="0"/>
          <w:color w:val="0D0D0D"/>
          <w:lang w:val="en-US"/>
        </w:rPr>
        <w:t>energiei</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w:t>
      </w:r>
      <w:proofErr w:type="spellStart"/>
      <w:r w:rsidRPr="00555F85">
        <w:rPr>
          <w:bCs/>
          <w:noProof w:val="0"/>
          <w:color w:val="0D0D0D"/>
          <w:lang w:val="en-US"/>
        </w:rPr>
        <w:t>prevăzute</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planurile</w:t>
      </w:r>
      <w:proofErr w:type="spellEnd"/>
      <w:r w:rsidRPr="00555F85">
        <w:rPr>
          <w:bCs/>
          <w:noProof w:val="0"/>
          <w:color w:val="0D0D0D"/>
          <w:lang w:val="en-US"/>
        </w:rPr>
        <w:t xml:space="preserve"> lor </w:t>
      </w:r>
      <w:proofErr w:type="spellStart"/>
      <w:r w:rsidRPr="00555F85">
        <w:rPr>
          <w:bCs/>
          <w:noProof w:val="0"/>
          <w:color w:val="0D0D0D"/>
          <w:lang w:val="en-US"/>
        </w:rPr>
        <w:t>naționale</w:t>
      </w:r>
      <w:proofErr w:type="spellEnd"/>
      <w:r w:rsidRPr="00555F85">
        <w:rPr>
          <w:bCs/>
          <w:noProof w:val="0"/>
          <w:color w:val="0D0D0D"/>
          <w:lang w:val="en-US"/>
        </w:rPr>
        <w:t xml:space="preserve"> integrate </w:t>
      </w:r>
      <w:proofErr w:type="spellStart"/>
      <w:r w:rsidRPr="00555F85">
        <w:rPr>
          <w:bCs/>
          <w:noProof w:val="0"/>
          <w:color w:val="0D0D0D"/>
          <w:lang w:val="en-US"/>
        </w:rPr>
        <w:t>privind</w:t>
      </w:r>
      <w:proofErr w:type="spellEnd"/>
      <w:r w:rsidRPr="00555F85">
        <w:rPr>
          <w:bCs/>
          <w:noProof w:val="0"/>
          <w:color w:val="0D0D0D"/>
          <w:lang w:val="en-US"/>
        </w:rPr>
        <w:t xml:space="preserve"> </w:t>
      </w:r>
      <w:proofErr w:type="spellStart"/>
      <w:r w:rsidRPr="00555F85">
        <w:rPr>
          <w:bCs/>
          <w:noProof w:val="0"/>
          <w:color w:val="0D0D0D"/>
          <w:lang w:val="en-US"/>
        </w:rPr>
        <w:t>energia</w:t>
      </w:r>
      <w:proofErr w:type="spellEnd"/>
      <w:r w:rsidRPr="00555F85">
        <w:rPr>
          <w:bCs/>
          <w:noProof w:val="0"/>
          <w:color w:val="0D0D0D"/>
          <w:lang w:val="en-US"/>
        </w:rPr>
        <w:t xml:space="preserve"> </w:t>
      </w:r>
      <w:proofErr w:type="spellStart"/>
      <w:r w:rsidRPr="00555F85">
        <w:rPr>
          <w:bCs/>
          <w:noProof w:val="0"/>
          <w:color w:val="0D0D0D"/>
          <w:lang w:val="en-US"/>
        </w:rPr>
        <w:t>și</w:t>
      </w:r>
      <w:proofErr w:type="spellEnd"/>
      <w:r w:rsidRPr="00555F85">
        <w:rPr>
          <w:bCs/>
          <w:noProof w:val="0"/>
          <w:color w:val="0D0D0D"/>
          <w:lang w:val="en-US"/>
        </w:rPr>
        <w:t xml:space="preserve"> </w:t>
      </w:r>
      <w:proofErr w:type="spellStart"/>
      <w:r w:rsidRPr="00555F85">
        <w:rPr>
          <w:bCs/>
          <w:noProof w:val="0"/>
          <w:color w:val="0D0D0D"/>
          <w:lang w:val="en-US"/>
        </w:rPr>
        <w:t>clima</w:t>
      </w:r>
      <w:proofErr w:type="spellEnd"/>
      <w:r w:rsidRPr="00555F85">
        <w:rPr>
          <w:bCs/>
          <w:noProof w:val="0"/>
          <w:color w:val="0D0D0D"/>
          <w:lang w:val="en-US"/>
        </w:rPr>
        <w:t xml:space="preserve"> </w:t>
      </w:r>
      <w:proofErr w:type="spellStart"/>
      <w:r w:rsidRPr="00555F85">
        <w:rPr>
          <w:bCs/>
          <w:noProof w:val="0"/>
          <w:color w:val="0D0D0D"/>
          <w:lang w:val="en-US"/>
        </w:rPr>
        <w:t>prezentate</w:t>
      </w:r>
      <w:proofErr w:type="spellEnd"/>
      <w:r w:rsidRPr="00555F85">
        <w:rPr>
          <w:bCs/>
          <w:noProof w:val="0"/>
          <w:color w:val="0D0D0D"/>
          <w:lang w:val="en-US"/>
        </w:rPr>
        <w:t xml:space="preserve">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temeiul</w:t>
      </w:r>
      <w:proofErr w:type="spellEnd"/>
      <w:r w:rsidRPr="00555F85">
        <w:rPr>
          <w:bCs/>
          <w:noProof w:val="0"/>
          <w:color w:val="0D0D0D"/>
          <w:lang w:val="en-US"/>
        </w:rPr>
        <w:t xml:space="preserve"> </w:t>
      </w:r>
      <w:proofErr w:type="spellStart"/>
      <w:r w:rsidRPr="00555F85">
        <w:rPr>
          <w:bCs/>
          <w:noProof w:val="0"/>
          <w:color w:val="0D0D0D"/>
          <w:lang w:val="en-US"/>
        </w:rPr>
        <w:t>articolului</w:t>
      </w:r>
      <w:proofErr w:type="spellEnd"/>
      <w:r w:rsidRPr="00555F85">
        <w:rPr>
          <w:bCs/>
          <w:noProof w:val="0"/>
          <w:color w:val="0D0D0D"/>
          <w:lang w:val="en-US"/>
        </w:rPr>
        <w:t xml:space="preserve"> 3 </w:t>
      </w:r>
      <w:proofErr w:type="spellStart"/>
      <w:r w:rsidRPr="00555F85">
        <w:rPr>
          <w:bCs/>
          <w:noProof w:val="0"/>
          <w:color w:val="0D0D0D"/>
          <w:lang w:val="en-US"/>
        </w:rPr>
        <w:t>și</w:t>
      </w:r>
      <w:proofErr w:type="spellEnd"/>
      <w:r w:rsidRPr="00555F85">
        <w:rPr>
          <w:bCs/>
          <w:noProof w:val="0"/>
          <w:color w:val="0D0D0D"/>
          <w:lang w:val="en-US"/>
        </w:rPr>
        <w:t xml:space="preserve"> al </w:t>
      </w:r>
      <w:proofErr w:type="spellStart"/>
      <w:r w:rsidRPr="00555F85">
        <w:rPr>
          <w:bCs/>
          <w:noProof w:val="0"/>
          <w:color w:val="0D0D0D"/>
          <w:lang w:val="en-US"/>
        </w:rPr>
        <w:t>articolului</w:t>
      </w:r>
      <w:proofErr w:type="spellEnd"/>
      <w:r w:rsidRPr="00555F85">
        <w:rPr>
          <w:bCs/>
          <w:noProof w:val="0"/>
          <w:color w:val="0D0D0D"/>
          <w:lang w:val="en-US"/>
        </w:rPr>
        <w:t xml:space="preserve"> 14 din </w:t>
      </w:r>
      <w:proofErr w:type="spellStart"/>
      <w:r w:rsidRPr="00555F85">
        <w:rPr>
          <w:bCs/>
          <w:noProof w:val="0"/>
          <w:color w:val="0D0D0D"/>
          <w:lang w:val="en-US"/>
        </w:rPr>
        <w:t>Regulamentul</w:t>
      </w:r>
      <w:proofErr w:type="spellEnd"/>
      <w:r w:rsidRPr="00555F85">
        <w:rPr>
          <w:bCs/>
          <w:noProof w:val="0"/>
          <w:color w:val="0D0D0D"/>
          <w:lang w:val="en-US"/>
        </w:rPr>
        <w:t xml:space="preserve"> (UE) 2018/1999. </w:t>
      </w:r>
    </w:p>
    <w:p w14:paraId="31734698" w14:textId="77777777" w:rsidR="00555F85" w:rsidRPr="00555F85" w:rsidRDefault="00555F85" w:rsidP="00831398">
      <w:pPr>
        <w:spacing w:before="0" w:after="200"/>
        <w:ind w:left="842" w:hanging="540"/>
        <w:rPr>
          <w:bCs/>
          <w:noProof w:val="0"/>
          <w:color w:val="0D0D0D"/>
          <w:lang w:val="en-US"/>
        </w:rPr>
      </w:pPr>
      <w:proofErr w:type="spellStart"/>
      <w:r w:rsidRPr="00555F85">
        <w:rPr>
          <w:bCs/>
          <w:noProof w:val="0"/>
          <w:color w:val="0D0D0D"/>
          <w:lang w:val="en-US"/>
        </w:rPr>
        <w:t>faptul</w:t>
      </w:r>
      <w:proofErr w:type="spellEnd"/>
      <w:r w:rsidRPr="00555F85">
        <w:rPr>
          <w:bCs/>
          <w:noProof w:val="0"/>
          <w:color w:val="0D0D0D"/>
          <w:lang w:val="en-US"/>
        </w:rPr>
        <w:t xml:space="preserve"> </w:t>
      </w:r>
      <w:proofErr w:type="spellStart"/>
      <w:r w:rsidRPr="00555F85">
        <w:rPr>
          <w:bCs/>
          <w:noProof w:val="0"/>
          <w:color w:val="0D0D0D"/>
          <w:lang w:val="en-US"/>
        </w:rPr>
        <w:t>că</w:t>
      </w:r>
      <w:proofErr w:type="spellEnd"/>
      <w:r w:rsidRPr="00555F85">
        <w:rPr>
          <w:bCs/>
          <w:noProof w:val="0"/>
          <w:color w:val="0D0D0D"/>
          <w:lang w:val="en-US"/>
        </w:rPr>
        <w:t xml:space="preserve">, </w:t>
      </w:r>
      <w:proofErr w:type="spellStart"/>
      <w:r w:rsidRPr="00555F85">
        <w:rPr>
          <w:bCs/>
          <w:noProof w:val="0"/>
          <w:color w:val="0D0D0D"/>
          <w:lang w:val="en-US"/>
        </w:rPr>
        <w:t>printre</w:t>
      </w:r>
      <w:proofErr w:type="spellEnd"/>
      <w:r w:rsidRPr="00555F85">
        <w:rPr>
          <w:bCs/>
          <w:noProof w:val="0"/>
          <w:color w:val="0D0D0D"/>
          <w:lang w:val="en-US"/>
        </w:rPr>
        <w:t xml:space="preserve"> </w:t>
      </w:r>
      <w:proofErr w:type="spellStart"/>
      <w:r w:rsidRPr="00555F85">
        <w:rPr>
          <w:bCs/>
          <w:noProof w:val="0"/>
          <w:color w:val="0D0D0D"/>
          <w:lang w:val="en-US"/>
        </w:rPr>
        <w:t>aspectele</w:t>
      </w:r>
      <w:proofErr w:type="spellEnd"/>
      <w:r w:rsidRPr="00555F85">
        <w:rPr>
          <w:bCs/>
          <w:noProof w:val="0"/>
          <w:color w:val="0D0D0D"/>
          <w:lang w:val="en-US"/>
        </w:rPr>
        <w:t xml:space="preserve"> care </w:t>
      </w:r>
      <w:proofErr w:type="spellStart"/>
      <w:r w:rsidRPr="00555F85">
        <w:rPr>
          <w:bCs/>
          <w:noProof w:val="0"/>
          <w:color w:val="0D0D0D"/>
          <w:lang w:val="en-US"/>
        </w:rPr>
        <w:t>necesitǎ</w:t>
      </w:r>
      <w:proofErr w:type="spellEnd"/>
      <w:r w:rsidRPr="00555F85">
        <w:rPr>
          <w:bCs/>
          <w:noProof w:val="0"/>
          <w:color w:val="0D0D0D"/>
          <w:lang w:val="en-US"/>
        </w:rPr>
        <w:t xml:space="preserve"> </w:t>
      </w:r>
      <w:proofErr w:type="spellStart"/>
      <w:r w:rsidRPr="00555F85">
        <w:rPr>
          <w:bCs/>
          <w:noProof w:val="0"/>
          <w:color w:val="0D0D0D"/>
          <w:lang w:val="en-US"/>
        </w:rPr>
        <w:t>reglementǎri</w:t>
      </w:r>
      <w:proofErr w:type="spellEnd"/>
      <w:r w:rsidRPr="00555F85">
        <w:rPr>
          <w:bCs/>
          <w:noProof w:val="0"/>
          <w:color w:val="0D0D0D"/>
          <w:lang w:val="en-US"/>
        </w:rPr>
        <w:t xml:space="preserve"> </w:t>
      </w:r>
      <w:proofErr w:type="spellStart"/>
      <w:r w:rsidRPr="00555F85">
        <w:rPr>
          <w:bCs/>
          <w:noProof w:val="0"/>
          <w:color w:val="0D0D0D"/>
          <w:lang w:val="en-US"/>
        </w:rPr>
        <w:t>imediate</w:t>
      </w:r>
      <w:proofErr w:type="spellEnd"/>
      <w:r w:rsidRPr="00555F85">
        <w:rPr>
          <w:bCs/>
          <w:noProof w:val="0"/>
          <w:color w:val="0D0D0D"/>
          <w:lang w:val="en-US"/>
        </w:rPr>
        <w:t xml:space="preserve">, </w:t>
      </w:r>
      <w:proofErr w:type="spellStart"/>
      <w:r w:rsidRPr="00555F85">
        <w:rPr>
          <w:bCs/>
          <w:noProof w:val="0"/>
          <w:color w:val="0D0D0D"/>
          <w:lang w:val="en-US"/>
        </w:rPr>
        <w:t>atât</w:t>
      </w:r>
      <w:proofErr w:type="spellEnd"/>
      <w:r w:rsidRPr="00555F85">
        <w:rPr>
          <w:bCs/>
          <w:noProof w:val="0"/>
          <w:color w:val="0D0D0D"/>
          <w:lang w:val="en-US"/>
        </w:rPr>
        <w:t xml:space="preserve"> de </w:t>
      </w:r>
      <w:proofErr w:type="spellStart"/>
      <w:r w:rsidRPr="00555F85">
        <w:rPr>
          <w:bCs/>
          <w:noProof w:val="0"/>
          <w:color w:val="0D0D0D"/>
          <w:lang w:val="en-US"/>
        </w:rPr>
        <w:t>naturǎ</w:t>
      </w:r>
      <w:proofErr w:type="spellEnd"/>
      <w:r w:rsidRPr="00555F85">
        <w:rPr>
          <w:bCs/>
          <w:noProof w:val="0"/>
          <w:color w:val="0D0D0D"/>
          <w:lang w:val="en-US"/>
        </w:rPr>
        <w:t xml:space="preserve"> </w:t>
      </w:r>
      <w:proofErr w:type="spellStart"/>
      <w:r w:rsidRPr="00555F85">
        <w:rPr>
          <w:bCs/>
          <w:noProof w:val="0"/>
          <w:color w:val="0D0D0D"/>
          <w:lang w:val="en-US"/>
        </w:rPr>
        <w:t>primarǎ</w:t>
      </w:r>
      <w:proofErr w:type="spellEnd"/>
      <w:r w:rsidRPr="00555F85">
        <w:rPr>
          <w:bCs/>
          <w:noProof w:val="0"/>
          <w:color w:val="0D0D0D"/>
          <w:lang w:val="en-US"/>
        </w:rPr>
        <w:t xml:space="preserve"> </w:t>
      </w:r>
      <w:proofErr w:type="spellStart"/>
      <w:r w:rsidRPr="00555F85">
        <w:rPr>
          <w:bCs/>
          <w:noProof w:val="0"/>
          <w:color w:val="0D0D0D"/>
          <w:lang w:val="en-US"/>
        </w:rPr>
        <w:t>cât</w:t>
      </w:r>
      <w:proofErr w:type="spellEnd"/>
      <w:r w:rsidRPr="00555F85">
        <w:rPr>
          <w:bCs/>
          <w:noProof w:val="0"/>
          <w:color w:val="0D0D0D"/>
          <w:lang w:val="en-US"/>
        </w:rPr>
        <w:t xml:space="preserve"> </w:t>
      </w:r>
      <w:proofErr w:type="spellStart"/>
      <w:r w:rsidRPr="00555F85">
        <w:rPr>
          <w:bCs/>
          <w:noProof w:val="0"/>
          <w:color w:val="0D0D0D"/>
          <w:lang w:val="en-US"/>
        </w:rPr>
        <w:t>şi</w:t>
      </w:r>
      <w:proofErr w:type="spellEnd"/>
      <w:r w:rsidRPr="00555F85">
        <w:rPr>
          <w:bCs/>
          <w:noProof w:val="0"/>
          <w:color w:val="0D0D0D"/>
          <w:lang w:val="en-US"/>
        </w:rPr>
        <w:t xml:space="preserve"> </w:t>
      </w:r>
      <w:proofErr w:type="spellStart"/>
      <w:r w:rsidRPr="00555F85">
        <w:rPr>
          <w:bCs/>
          <w:noProof w:val="0"/>
          <w:color w:val="0D0D0D"/>
          <w:lang w:val="en-US"/>
        </w:rPr>
        <w:t>secundarǎ</w:t>
      </w:r>
      <w:proofErr w:type="spellEnd"/>
      <w:r w:rsidRPr="00555F85">
        <w:rPr>
          <w:bCs/>
          <w:noProof w:val="0"/>
          <w:color w:val="0D0D0D"/>
          <w:lang w:val="en-US"/>
        </w:rPr>
        <w:t xml:space="preserve">, sunt: </w:t>
      </w:r>
      <w:proofErr w:type="spellStart"/>
      <w:r w:rsidRPr="00555F85">
        <w:rPr>
          <w:bCs/>
          <w:noProof w:val="0"/>
          <w:color w:val="0D0D0D"/>
          <w:lang w:val="en-US"/>
        </w:rPr>
        <w:t>schemele</w:t>
      </w:r>
      <w:proofErr w:type="spellEnd"/>
      <w:r w:rsidRPr="00555F85">
        <w:rPr>
          <w:bCs/>
          <w:noProof w:val="0"/>
          <w:color w:val="0D0D0D"/>
          <w:lang w:val="en-US"/>
        </w:rPr>
        <w:t xml:space="preserve"> de </w:t>
      </w:r>
      <w:proofErr w:type="spellStart"/>
      <w:r w:rsidRPr="00555F85">
        <w:rPr>
          <w:bCs/>
          <w:noProof w:val="0"/>
          <w:color w:val="0D0D0D"/>
          <w:lang w:val="en-US"/>
        </w:rPr>
        <w:t>sprijin</w:t>
      </w:r>
      <w:proofErr w:type="spellEnd"/>
      <w:r w:rsidRPr="00555F85">
        <w:rPr>
          <w:bCs/>
          <w:noProof w:val="0"/>
          <w:color w:val="0D0D0D"/>
          <w:lang w:val="en-US"/>
        </w:rPr>
        <w:t xml:space="preserve"> </w:t>
      </w:r>
      <w:proofErr w:type="spellStart"/>
      <w:r w:rsidRPr="00555F85">
        <w:rPr>
          <w:bCs/>
          <w:noProof w:val="0"/>
          <w:color w:val="0D0D0D"/>
          <w:lang w:val="en-US"/>
        </w:rPr>
        <w:t>și</w:t>
      </w:r>
      <w:proofErr w:type="spellEnd"/>
      <w:r w:rsidRPr="00555F85">
        <w:rPr>
          <w:bCs/>
          <w:noProof w:val="0"/>
          <w:color w:val="0D0D0D"/>
          <w:lang w:val="en-US"/>
        </w:rPr>
        <w:t xml:space="preserve"> </w:t>
      </w:r>
      <w:proofErr w:type="spellStart"/>
      <w:r w:rsidRPr="00555F85">
        <w:rPr>
          <w:bCs/>
          <w:noProof w:val="0"/>
          <w:color w:val="0D0D0D"/>
          <w:lang w:val="en-US"/>
        </w:rPr>
        <w:t>calculul</w:t>
      </w:r>
      <w:proofErr w:type="spellEnd"/>
      <w:r w:rsidRPr="00555F85">
        <w:rPr>
          <w:bCs/>
          <w:noProof w:val="0"/>
          <w:color w:val="0D0D0D"/>
          <w:lang w:val="en-US"/>
        </w:rPr>
        <w:t xml:space="preserve"> </w:t>
      </w:r>
      <w:proofErr w:type="spellStart"/>
      <w:r w:rsidRPr="00555F85">
        <w:rPr>
          <w:bCs/>
          <w:noProof w:val="0"/>
          <w:color w:val="0D0D0D"/>
          <w:lang w:val="en-US"/>
        </w:rPr>
        <w:t>ponderii</w:t>
      </w:r>
      <w:proofErr w:type="spellEnd"/>
      <w:r w:rsidRPr="00555F85">
        <w:rPr>
          <w:bCs/>
          <w:noProof w:val="0"/>
          <w:color w:val="0D0D0D"/>
          <w:lang w:val="en-US"/>
        </w:rPr>
        <w:t xml:space="preserve"> </w:t>
      </w:r>
      <w:proofErr w:type="spellStart"/>
      <w:r w:rsidRPr="00555F85">
        <w:rPr>
          <w:bCs/>
          <w:noProof w:val="0"/>
          <w:color w:val="0D0D0D"/>
          <w:lang w:val="en-US"/>
        </w:rPr>
        <w:t>energiei</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w:t>
      </w:r>
      <w:proofErr w:type="spellStart"/>
      <w:r w:rsidRPr="00555F85">
        <w:rPr>
          <w:bCs/>
          <w:noProof w:val="0"/>
          <w:color w:val="0D0D0D"/>
          <w:lang w:val="en-US"/>
        </w:rPr>
        <w:t>comunitǎţile</w:t>
      </w:r>
      <w:proofErr w:type="spellEnd"/>
      <w:r w:rsidRPr="00555F85">
        <w:rPr>
          <w:bCs/>
          <w:noProof w:val="0"/>
          <w:color w:val="0D0D0D"/>
          <w:lang w:val="en-US"/>
        </w:rPr>
        <w:t xml:space="preserve"> de </w:t>
      </w:r>
      <w:proofErr w:type="spellStart"/>
      <w:r w:rsidRPr="00555F85">
        <w:rPr>
          <w:bCs/>
          <w:noProof w:val="0"/>
          <w:color w:val="0D0D0D"/>
          <w:lang w:val="en-US"/>
        </w:rPr>
        <w:t>energie</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w:t>
      </w:r>
      <w:proofErr w:type="spellStart"/>
      <w:r w:rsidRPr="00555F85">
        <w:rPr>
          <w:bCs/>
          <w:noProof w:val="0"/>
          <w:color w:val="0D0D0D"/>
          <w:lang w:val="en-US"/>
        </w:rPr>
        <w:t>garanţiile</w:t>
      </w:r>
      <w:proofErr w:type="spellEnd"/>
      <w:r w:rsidRPr="00555F85">
        <w:rPr>
          <w:bCs/>
          <w:noProof w:val="0"/>
          <w:color w:val="0D0D0D"/>
          <w:lang w:val="en-US"/>
        </w:rPr>
        <w:t xml:space="preserve"> de origine </w:t>
      </w:r>
      <w:proofErr w:type="spellStart"/>
      <w:r w:rsidRPr="00555F85">
        <w:rPr>
          <w:bCs/>
          <w:noProof w:val="0"/>
          <w:color w:val="0D0D0D"/>
          <w:lang w:val="en-US"/>
        </w:rPr>
        <w:t>pentru</w:t>
      </w:r>
      <w:proofErr w:type="spellEnd"/>
      <w:r w:rsidRPr="00555F85">
        <w:rPr>
          <w:bCs/>
          <w:noProof w:val="0"/>
          <w:color w:val="0D0D0D"/>
          <w:lang w:val="en-US"/>
        </w:rPr>
        <w:t xml:space="preserve"> </w:t>
      </w:r>
      <w:proofErr w:type="spellStart"/>
      <w:r w:rsidRPr="00555F85">
        <w:rPr>
          <w:bCs/>
          <w:noProof w:val="0"/>
          <w:color w:val="0D0D0D"/>
          <w:lang w:val="en-US"/>
        </w:rPr>
        <w:t>energia</w:t>
      </w:r>
      <w:proofErr w:type="spellEnd"/>
      <w:r w:rsidRPr="00555F85">
        <w:rPr>
          <w:bCs/>
          <w:noProof w:val="0"/>
          <w:color w:val="0D0D0D"/>
          <w:lang w:val="en-US"/>
        </w:rPr>
        <w:t xml:space="preserve"> </w:t>
      </w:r>
      <w:proofErr w:type="spellStart"/>
      <w:r w:rsidRPr="00555F85">
        <w:rPr>
          <w:bCs/>
          <w:noProof w:val="0"/>
          <w:color w:val="0D0D0D"/>
          <w:lang w:val="en-US"/>
        </w:rPr>
        <w:t>produsǎ</w:t>
      </w:r>
      <w:proofErr w:type="spellEnd"/>
      <w:r w:rsidRPr="00555F85">
        <w:rPr>
          <w:bCs/>
          <w:noProof w:val="0"/>
          <w:color w:val="0D0D0D"/>
          <w:lang w:val="en-US"/>
        </w:rPr>
        <w:t xml:space="preserve"> din </w:t>
      </w:r>
      <w:proofErr w:type="spellStart"/>
      <w:r w:rsidRPr="00555F85">
        <w:rPr>
          <w:bCs/>
          <w:noProof w:val="0"/>
          <w:color w:val="0D0D0D"/>
          <w:lang w:val="en-US"/>
        </w:rPr>
        <w:t>surse</w:t>
      </w:r>
      <w:proofErr w:type="spellEnd"/>
      <w:r w:rsidRPr="00555F85">
        <w:rPr>
          <w:bCs/>
          <w:noProof w:val="0"/>
          <w:color w:val="0D0D0D"/>
          <w:lang w:val="en-US"/>
        </w:rPr>
        <w:t xml:space="preserve"> </w:t>
      </w:r>
      <w:proofErr w:type="spellStart"/>
      <w:r w:rsidRPr="00555F85">
        <w:rPr>
          <w:bCs/>
          <w:noProof w:val="0"/>
          <w:color w:val="0D0D0D"/>
          <w:lang w:val="en-US"/>
        </w:rPr>
        <w:t>regenerabile</w:t>
      </w:r>
      <w:proofErr w:type="spellEnd"/>
      <w:r w:rsidRPr="00555F85">
        <w:rPr>
          <w:bCs/>
          <w:noProof w:val="0"/>
          <w:color w:val="0D0D0D"/>
          <w:lang w:val="en-US"/>
        </w:rPr>
        <w:t xml:space="preserve"> de </w:t>
      </w:r>
      <w:proofErr w:type="spellStart"/>
      <w:r w:rsidRPr="00555F85">
        <w:rPr>
          <w:bCs/>
          <w:noProof w:val="0"/>
          <w:color w:val="0D0D0D"/>
          <w:lang w:val="en-US"/>
        </w:rPr>
        <w:t>energie</w:t>
      </w:r>
      <w:proofErr w:type="spellEnd"/>
      <w:r w:rsidRPr="00555F85">
        <w:rPr>
          <w:bCs/>
          <w:noProof w:val="0"/>
          <w:color w:val="0D0D0D"/>
          <w:lang w:val="en-US"/>
        </w:rPr>
        <w:t xml:space="preserve">, </w:t>
      </w:r>
      <w:proofErr w:type="spellStart"/>
      <w:r w:rsidRPr="00555F85">
        <w:rPr>
          <w:bCs/>
          <w:noProof w:val="0"/>
          <w:color w:val="0D0D0D"/>
          <w:lang w:val="en-US"/>
        </w:rPr>
        <w:t>stabilirea</w:t>
      </w:r>
      <w:proofErr w:type="spellEnd"/>
      <w:r w:rsidRPr="00555F85">
        <w:rPr>
          <w:bCs/>
          <w:noProof w:val="0"/>
          <w:color w:val="0D0D0D"/>
          <w:lang w:val="en-US"/>
        </w:rPr>
        <w:t xml:space="preserve"> </w:t>
      </w:r>
      <w:proofErr w:type="spellStart"/>
      <w:r w:rsidRPr="00555F85">
        <w:rPr>
          <w:bCs/>
          <w:noProof w:val="0"/>
          <w:color w:val="0D0D0D"/>
          <w:lang w:val="en-US"/>
        </w:rPr>
        <w:t>punctului</w:t>
      </w:r>
      <w:proofErr w:type="spellEnd"/>
      <w:r w:rsidRPr="00555F85">
        <w:rPr>
          <w:bCs/>
          <w:noProof w:val="0"/>
          <w:color w:val="0D0D0D"/>
          <w:lang w:val="en-US"/>
        </w:rPr>
        <w:t xml:space="preserve"> </w:t>
      </w:r>
      <w:proofErr w:type="spellStart"/>
      <w:r w:rsidRPr="00555F85">
        <w:rPr>
          <w:bCs/>
          <w:noProof w:val="0"/>
          <w:color w:val="0D0D0D"/>
          <w:lang w:val="en-US"/>
        </w:rPr>
        <w:t>unic</w:t>
      </w:r>
      <w:proofErr w:type="spellEnd"/>
      <w:r w:rsidRPr="00555F85">
        <w:rPr>
          <w:bCs/>
          <w:noProof w:val="0"/>
          <w:color w:val="0D0D0D"/>
          <w:lang w:val="en-US"/>
        </w:rPr>
        <w:t xml:space="preserve"> de contact </w:t>
      </w:r>
      <w:proofErr w:type="spellStart"/>
      <w:r w:rsidRPr="00555F85">
        <w:rPr>
          <w:bCs/>
          <w:noProof w:val="0"/>
          <w:color w:val="0D0D0D"/>
          <w:lang w:val="en-US"/>
        </w:rPr>
        <w:t>în</w:t>
      </w:r>
      <w:proofErr w:type="spellEnd"/>
      <w:r w:rsidRPr="00555F85">
        <w:rPr>
          <w:bCs/>
          <w:noProof w:val="0"/>
          <w:color w:val="0D0D0D"/>
          <w:lang w:val="en-US"/>
        </w:rPr>
        <w:t xml:space="preserve"> </w:t>
      </w:r>
      <w:proofErr w:type="spellStart"/>
      <w:r w:rsidRPr="00555F85">
        <w:rPr>
          <w:bCs/>
          <w:noProof w:val="0"/>
          <w:color w:val="0D0D0D"/>
          <w:lang w:val="en-US"/>
        </w:rPr>
        <w:t>vederea</w:t>
      </w:r>
      <w:proofErr w:type="spellEnd"/>
      <w:r w:rsidRPr="00555F85">
        <w:rPr>
          <w:bCs/>
          <w:noProof w:val="0"/>
          <w:color w:val="0D0D0D"/>
          <w:lang w:val="en-US"/>
        </w:rPr>
        <w:t xml:space="preserve"> </w:t>
      </w:r>
      <w:proofErr w:type="spellStart"/>
      <w:r w:rsidRPr="00555F85">
        <w:rPr>
          <w:bCs/>
          <w:noProof w:val="0"/>
          <w:color w:val="0D0D0D"/>
          <w:lang w:val="en-US"/>
        </w:rPr>
        <w:t>simplificǎrii</w:t>
      </w:r>
      <w:proofErr w:type="spellEnd"/>
      <w:r w:rsidRPr="00555F85">
        <w:rPr>
          <w:bCs/>
          <w:noProof w:val="0"/>
          <w:color w:val="0D0D0D"/>
          <w:lang w:val="en-US"/>
        </w:rPr>
        <w:t xml:space="preserve"> </w:t>
      </w:r>
      <w:proofErr w:type="spellStart"/>
      <w:r w:rsidRPr="00555F85">
        <w:rPr>
          <w:bCs/>
          <w:noProof w:val="0"/>
          <w:color w:val="0D0D0D"/>
          <w:lang w:val="en-US"/>
        </w:rPr>
        <w:t>procedurilor</w:t>
      </w:r>
      <w:proofErr w:type="spellEnd"/>
      <w:r w:rsidRPr="00555F85">
        <w:rPr>
          <w:bCs/>
          <w:noProof w:val="0"/>
          <w:color w:val="0D0D0D"/>
          <w:lang w:val="en-US"/>
        </w:rPr>
        <w:t xml:space="preserve"> administrative, </w:t>
      </w:r>
      <w:proofErr w:type="spellStart"/>
      <w:r w:rsidRPr="00555F85">
        <w:rPr>
          <w:bCs/>
          <w:noProof w:val="0"/>
          <w:color w:val="0D0D0D"/>
          <w:lang w:val="en-US"/>
        </w:rPr>
        <w:t>metodologia</w:t>
      </w:r>
      <w:proofErr w:type="spellEnd"/>
      <w:r w:rsidRPr="00555F85">
        <w:rPr>
          <w:bCs/>
          <w:noProof w:val="0"/>
          <w:color w:val="0D0D0D"/>
          <w:lang w:val="en-US"/>
        </w:rPr>
        <w:t xml:space="preserve"> </w:t>
      </w:r>
      <w:proofErr w:type="spellStart"/>
      <w:r w:rsidRPr="00555F85">
        <w:rPr>
          <w:bCs/>
          <w:noProof w:val="0"/>
          <w:color w:val="0D0D0D"/>
          <w:lang w:val="en-US"/>
        </w:rPr>
        <w:t>privind</w:t>
      </w:r>
      <w:proofErr w:type="spellEnd"/>
      <w:r w:rsidRPr="00555F85">
        <w:rPr>
          <w:bCs/>
          <w:noProof w:val="0"/>
          <w:color w:val="0D0D0D"/>
          <w:lang w:val="en-US"/>
        </w:rPr>
        <w:t xml:space="preserve"> </w:t>
      </w:r>
      <w:proofErr w:type="spellStart"/>
      <w:r w:rsidRPr="00555F85">
        <w:rPr>
          <w:bCs/>
          <w:noProof w:val="0"/>
          <w:color w:val="0D0D0D"/>
          <w:lang w:val="en-US"/>
        </w:rPr>
        <w:t>calculul</w:t>
      </w:r>
      <w:proofErr w:type="spellEnd"/>
      <w:r w:rsidRPr="00555F85">
        <w:rPr>
          <w:bCs/>
          <w:noProof w:val="0"/>
          <w:color w:val="0D0D0D"/>
          <w:lang w:val="en-US"/>
        </w:rPr>
        <w:t xml:space="preserve"> </w:t>
      </w:r>
      <w:proofErr w:type="spellStart"/>
      <w:r w:rsidRPr="00555F85">
        <w:rPr>
          <w:bCs/>
          <w:noProof w:val="0"/>
          <w:color w:val="0D0D0D"/>
          <w:lang w:val="en-US"/>
        </w:rPr>
        <w:t>emisiilor</w:t>
      </w:r>
      <w:proofErr w:type="spellEnd"/>
      <w:r w:rsidRPr="00555F85">
        <w:rPr>
          <w:bCs/>
          <w:noProof w:val="0"/>
          <w:color w:val="0D0D0D"/>
          <w:lang w:val="en-US"/>
        </w:rPr>
        <w:t xml:space="preserve"> de gaze cu </w:t>
      </w:r>
      <w:proofErr w:type="spellStart"/>
      <w:r w:rsidRPr="00555F85">
        <w:rPr>
          <w:bCs/>
          <w:noProof w:val="0"/>
          <w:color w:val="0D0D0D"/>
          <w:lang w:val="en-US"/>
        </w:rPr>
        <w:t>efect</w:t>
      </w:r>
      <w:proofErr w:type="spellEnd"/>
      <w:r w:rsidRPr="00555F85">
        <w:rPr>
          <w:bCs/>
          <w:noProof w:val="0"/>
          <w:color w:val="0D0D0D"/>
          <w:lang w:val="en-US"/>
        </w:rPr>
        <w:t xml:space="preserve"> de </w:t>
      </w:r>
      <w:proofErr w:type="spellStart"/>
      <w:r w:rsidRPr="00555F85">
        <w:rPr>
          <w:bCs/>
          <w:noProof w:val="0"/>
          <w:color w:val="0D0D0D"/>
          <w:lang w:val="en-US"/>
        </w:rPr>
        <w:t>seră</w:t>
      </w:r>
      <w:proofErr w:type="spellEnd"/>
      <w:r w:rsidRPr="00555F85">
        <w:rPr>
          <w:bCs/>
          <w:noProof w:val="0"/>
          <w:color w:val="0D0D0D"/>
          <w:lang w:val="en-US"/>
        </w:rPr>
        <w:t xml:space="preserve"> </w:t>
      </w:r>
      <w:proofErr w:type="spellStart"/>
      <w:r w:rsidRPr="00555F85">
        <w:rPr>
          <w:bCs/>
          <w:noProof w:val="0"/>
          <w:color w:val="0D0D0D"/>
          <w:lang w:val="en-US"/>
        </w:rPr>
        <w:t>provenite</w:t>
      </w:r>
      <w:proofErr w:type="spellEnd"/>
      <w:r w:rsidRPr="00555F85">
        <w:rPr>
          <w:bCs/>
          <w:noProof w:val="0"/>
          <w:color w:val="0D0D0D"/>
          <w:lang w:val="en-US"/>
        </w:rPr>
        <w:t xml:space="preserve"> din </w:t>
      </w:r>
      <w:proofErr w:type="spellStart"/>
      <w:r w:rsidRPr="00555F85">
        <w:rPr>
          <w:bCs/>
          <w:noProof w:val="0"/>
          <w:color w:val="0D0D0D"/>
          <w:lang w:val="en-US"/>
        </w:rPr>
        <w:t>producția</w:t>
      </w:r>
      <w:proofErr w:type="spellEnd"/>
      <w:r w:rsidRPr="00555F85">
        <w:rPr>
          <w:bCs/>
          <w:noProof w:val="0"/>
          <w:color w:val="0D0D0D"/>
          <w:lang w:val="en-US"/>
        </w:rPr>
        <w:t xml:space="preserve"> </w:t>
      </w:r>
      <w:proofErr w:type="spellStart"/>
      <w:r w:rsidRPr="00555F85">
        <w:rPr>
          <w:bCs/>
          <w:noProof w:val="0"/>
          <w:color w:val="0D0D0D"/>
          <w:lang w:val="en-US"/>
        </w:rPr>
        <w:t>și</w:t>
      </w:r>
      <w:proofErr w:type="spellEnd"/>
      <w:r w:rsidRPr="00555F85">
        <w:rPr>
          <w:bCs/>
          <w:noProof w:val="0"/>
          <w:color w:val="0D0D0D"/>
          <w:lang w:val="en-US"/>
        </w:rPr>
        <w:t xml:space="preserve"> </w:t>
      </w:r>
      <w:proofErr w:type="spellStart"/>
      <w:r w:rsidRPr="00555F85">
        <w:rPr>
          <w:bCs/>
          <w:noProof w:val="0"/>
          <w:color w:val="0D0D0D"/>
          <w:lang w:val="en-US"/>
        </w:rPr>
        <w:t>utilizarea</w:t>
      </w:r>
      <w:proofErr w:type="spellEnd"/>
      <w:r w:rsidRPr="00555F85">
        <w:rPr>
          <w:bCs/>
          <w:noProof w:val="0"/>
          <w:color w:val="0D0D0D"/>
          <w:lang w:val="en-US"/>
        </w:rPr>
        <w:t xml:space="preserve"> de </w:t>
      </w:r>
      <w:proofErr w:type="spellStart"/>
      <w:r w:rsidRPr="00555F85">
        <w:rPr>
          <w:bCs/>
          <w:noProof w:val="0"/>
          <w:color w:val="0D0D0D"/>
          <w:lang w:val="en-US"/>
        </w:rPr>
        <w:t>combustibili</w:t>
      </w:r>
      <w:proofErr w:type="spellEnd"/>
      <w:r w:rsidRPr="00555F85">
        <w:rPr>
          <w:bCs/>
          <w:noProof w:val="0"/>
          <w:color w:val="0D0D0D"/>
          <w:lang w:val="en-US"/>
        </w:rPr>
        <w:t xml:space="preserve"> </w:t>
      </w:r>
      <w:proofErr w:type="spellStart"/>
      <w:r w:rsidRPr="00555F85">
        <w:rPr>
          <w:bCs/>
          <w:noProof w:val="0"/>
          <w:color w:val="0D0D0D"/>
          <w:lang w:val="en-US"/>
        </w:rPr>
        <w:t>pentru</w:t>
      </w:r>
      <w:proofErr w:type="spellEnd"/>
      <w:r w:rsidRPr="00555F85">
        <w:rPr>
          <w:bCs/>
          <w:noProof w:val="0"/>
          <w:color w:val="0D0D0D"/>
          <w:lang w:val="en-US"/>
        </w:rPr>
        <w:t xml:space="preserve"> </w:t>
      </w:r>
      <w:proofErr w:type="spellStart"/>
      <w:r w:rsidRPr="00555F85">
        <w:rPr>
          <w:bCs/>
          <w:noProof w:val="0"/>
          <w:color w:val="0D0D0D"/>
          <w:lang w:val="en-US"/>
        </w:rPr>
        <w:t>transporturi</w:t>
      </w:r>
      <w:proofErr w:type="spellEnd"/>
      <w:r w:rsidRPr="00555F85">
        <w:rPr>
          <w:bCs/>
          <w:noProof w:val="0"/>
          <w:color w:val="0D0D0D"/>
          <w:lang w:val="en-US"/>
        </w:rPr>
        <w:t xml:space="preserve">, </w:t>
      </w:r>
      <w:proofErr w:type="spellStart"/>
      <w:r w:rsidRPr="00555F85">
        <w:rPr>
          <w:bCs/>
          <w:noProof w:val="0"/>
          <w:color w:val="0D0D0D"/>
          <w:lang w:val="en-US"/>
        </w:rPr>
        <w:t>biocombustibili</w:t>
      </w:r>
      <w:proofErr w:type="spellEnd"/>
      <w:r w:rsidRPr="00555F85">
        <w:rPr>
          <w:bCs/>
          <w:noProof w:val="0"/>
          <w:color w:val="0D0D0D"/>
          <w:lang w:val="en-US"/>
        </w:rPr>
        <w:t xml:space="preserve"> </w:t>
      </w:r>
      <w:proofErr w:type="spellStart"/>
      <w:r w:rsidRPr="00555F85">
        <w:rPr>
          <w:bCs/>
          <w:noProof w:val="0"/>
          <w:color w:val="0D0D0D"/>
          <w:lang w:val="en-US"/>
        </w:rPr>
        <w:t>și</w:t>
      </w:r>
      <w:proofErr w:type="spellEnd"/>
      <w:r w:rsidRPr="00555F85">
        <w:rPr>
          <w:bCs/>
          <w:noProof w:val="0"/>
          <w:color w:val="0D0D0D"/>
          <w:lang w:val="en-US"/>
        </w:rPr>
        <w:t xml:space="preserve"> </w:t>
      </w:r>
      <w:proofErr w:type="spellStart"/>
      <w:r w:rsidRPr="00555F85">
        <w:rPr>
          <w:bCs/>
          <w:noProof w:val="0"/>
          <w:color w:val="0D0D0D"/>
          <w:lang w:val="en-US"/>
        </w:rPr>
        <w:t>biolichide</w:t>
      </w:r>
      <w:proofErr w:type="spellEnd"/>
      <w:r w:rsidRPr="00555F85">
        <w:rPr>
          <w:bCs/>
          <w:noProof w:val="0"/>
          <w:color w:val="0D0D0D"/>
          <w:lang w:val="en-US"/>
        </w:rPr>
        <w:t xml:space="preserve">, </w:t>
      </w:r>
      <w:proofErr w:type="spellStart"/>
      <w:r w:rsidRPr="00555F85">
        <w:rPr>
          <w:bCs/>
          <w:noProof w:val="0"/>
          <w:color w:val="0D0D0D"/>
          <w:lang w:val="en-US"/>
        </w:rPr>
        <w:t>mecanisme</w:t>
      </w:r>
      <w:proofErr w:type="spellEnd"/>
      <w:r w:rsidRPr="00555F85">
        <w:rPr>
          <w:bCs/>
          <w:noProof w:val="0"/>
          <w:color w:val="0D0D0D"/>
          <w:lang w:val="en-US"/>
        </w:rPr>
        <w:t xml:space="preserve"> de </w:t>
      </w:r>
      <w:proofErr w:type="spellStart"/>
      <w:r w:rsidRPr="00555F85">
        <w:rPr>
          <w:bCs/>
          <w:noProof w:val="0"/>
          <w:color w:val="0D0D0D"/>
          <w:lang w:val="en-US"/>
        </w:rPr>
        <w:t>cooperare</w:t>
      </w:r>
      <w:proofErr w:type="spellEnd"/>
      <w:r w:rsidRPr="00555F85">
        <w:rPr>
          <w:bCs/>
          <w:noProof w:val="0"/>
          <w:color w:val="0D0D0D"/>
          <w:lang w:val="en-US"/>
        </w:rPr>
        <w:t>,</w:t>
      </w:r>
    </w:p>
    <w:p w14:paraId="2E680518" w14:textId="03248B6E" w:rsidR="00555F85" w:rsidRPr="00555F85" w:rsidRDefault="00555F85" w:rsidP="00831398">
      <w:pPr>
        <w:spacing w:before="0" w:after="200"/>
        <w:ind w:left="842" w:hanging="540"/>
        <w:rPr>
          <w:bCs/>
          <w:noProof w:val="0"/>
          <w:color w:val="0D0D0D"/>
          <w:highlight w:val="yellow"/>
        </w:rPr>
      </w:pPr>
      <w:r w:rsidRPr="00555F85">
        <w:rPr>
          <w:bCs/>
          <w:noProof w:val="0"/>
          <w:color w:val="0D0D0D"/>
        </w:rPr>
        <w:t xml:space="preserve">având în vedere complexitatea actului normativ și faptul că, după aprobarea acestuia, Autoritatea Națională de Reglementare în domeniul Energiei va trebui să modifice și să completeze legislația secundară, în conformitate cu prevederile acestui act normativ, iar întârzierea adoptării acestor modificări va avea un impact major asupra implementării Componentei </w:t>
      </w:r>
      <w:r w:rsidR="00686798">
        <w:rPr>
          <w:bCs/>
          <w:noProof w:val="0"/>
          <w:color w:val="0D0D0D"/>
        </w:rPr>
        <w:t>1</w:t>
      </w:r>
      <w:r w:rsidRPr="00555F85">
        <w:rPr>
          <w:bCs/>
          <w:noProof w:val="0"/>
          <w:color w:val="0D0D0D"/>
        </w:rPr>
        <w:t xml:space="preserve">6  </w:t>
      </w:r>
      <w:r w:rsidR="00686798">
        <w:rPr>
          <w:bCs/>
          <w:noProof w:val="0"/>
          <w:color w:val="0D0D0D"/>
        </w:rPr>
        <w:t>REPowerEU</w:t>
      </w:r>
      <w:r w:rsidRPr="00555F85">
        <w:rPr>
          <w:bCs/>
          <w:noProof w:val="0"/>
          <w:color w:val="0D0D0D"/>
        </w:rPr>
        <w:t xml:space="preserve"> prevăzut</w:t>
      </w:r>
      <w:r w:rsidR="00686798">
        <w:rPr>
          <w:bCs/>
          <w:noProof w:val="0"/>
          <w:color w:val="0D0D0D"/>
        </w:rPr>
        <w:t>ă</w:t>
      </w:r>
      <w:r w:rsidRPr="00555F85">
        <w:rPr>
          <w:bCs/>
          <w:noProof w:val="0"/>
          <w:color w:val="0D0D0D"/>
        </w:rPr>
        <w:t xml:space="preserve"> în PNRR,</w:t>
      </w:r>
    </w:p>
    <w:p w14:paraId="55426F31" w14:textId="77777777" w:rsidR="00555F85" w:rsidRPr="00555F85" w:rsidRDefault="00555F85" w:rsidP="00831398">
      <w:pPr>
        <w:spacing w:before="0" w:after="200"/>
        <w:ind w:left="302" w:firstLine="0"/>
        <w:rPr>
          <w:bCs/>
          <w:noProof w:val="0"/>
          <w:color w:val="0D0D0D"/>
        </w:rPr>
      </w:pPr>
      <w:r w:rsidRPr="00555F85">
        <w:rPr>
          <w:bCs/>
          <w:noProof w:val="0"/>
          <w:color w:val="0D0D0D"/>
        </w:rPr>
        <w:t>Prezenta ordonanță de urgență transpune Directiva (UE) 2023/2413 a Parlamentului European și a Consiliului din 18 octombrie 2023 de modificare a Directivei (UE) 2018/2001, a Regulamentului (UE) 2018/1999 și a Directivei 98/70/CE în ceea ce privește promovarea energiei din surse regenerabile și de abrogare a Directivei (UE) 2015/652 a Consiliului, publicată în Jurnalul Oficial al Uniunii Europene nr. L, 2023/2413, 31.10.2023</w:t>
      </w:r>
    </w:p>
    <w:p w14:paraId="70B093EC" w14:textId="77777777" w:rsidR="00555F85" w:rsidRPr="00555F85" w:rsidRDefault="00555F85" w:rsidP="00831398">
      <w:pPr>
        <w:spacing w:before="0" w:after="200"/>
        <w:ind w:left="302" w:firstLine="0"/>
        <w:rPr>
          <w:b/>
          <w:noProof w:val="0"/>
          <w:color w:val="0D0D0D"/>
        </w:rPr>
      </w:pPr>
      <w:r w:rsidRPr="00555F85">
        <w:rPr>
          <w:b/>
          <w:noProof w:val="0"/>
          <w:color w:val="0D0D0D"/>
        </w:rPr>
        <w:t>În temeiul art. 115 alin. (4) din Constituţia României, republicată, Guvernul României adoptă prezenta ordonanţă de urgenţă:</w:t>
      </w:r>
    </w:p>
    <w:p w14:paraId="3C83E75D" w14:textId="6072B84C" w:rsidR="00E53F54" w:rsidRPr="00721C2C" w:rsidRDefault="00B61B97" w:rsidP="00ED18D4">
      <w:pPr>
        <w:rPr>
          <w:b/>
          <w:bCs/>
          <w:noProof w:val="0"/>
          <w:color w:val="000000"/>
        </w:rPr>
      </w:pPr>
      <w:r w:rsidRPr="00721C2C">
        <w:rPr>
          <w:b/>
          <w:bCs/>
          <w:noProof w:val="0"/>
          <w:color w:val="000000"/>
        </w:rPr>
        <w:t>Articolul 1</w:t>
      </w:r>
    </w:p>
    <w:p w14:paraId="7A4D17E3" w14:textId="6F0C1B7A" w:rsidR="00B61B97" w:rsidRPr="00721C2C" w:rsidRDefault="00B61B97" w:rsidP="00ED18D4">
      <w:pPr>
        <w:rPr>
          <w:noProof w:val="0"/>
        </w:rPr>
      </w:pPr>
      <w:r w:rsidRPr="00721C2C">
        <w:rPr>
          <w:noProof w:val="0"/>
        </w:rPr>
        <w:t>ORDONANȚA DE URGENȚĂ nr. 163 din 29 noiembrie 2022 pentru completarea cadrului legal de promovare a utilizării energiei din surse regenerabile, precum și pentru modificarea și completarea unor acte normative, cu modificările și completările ulterioare, se modifică și se completează după cum urmează:</w:t>
      </w:r>
    </w:p>
    <w:p w14:paraId="2B4FBA18" w14:textId="767253CF" w:rsidR="0048308F" w:rsidRPr="00721C2C" w:rsidRDefault="00C905D1" w:rsidP="00ED18D4">
      <w:pPr>
        <w:pStyle w:val="Heading5"/>
      </w:pPr>
      <w:r w:rsidRPr="00721C2C">
        <w:t xml:space="preserve"> - </w:t>
      </w:r>
      <w:r w:rsidR="00B61B97" w:rsidRPr="00721C2C">
        <w:t>La art. 2 după pct. 1 se introduce un nou pct. (1^1) cu următorul cuprins:</w:t>
      </w:r>
    </w:p>
    <w:p w14:paraId="3BD5D582" w14:textId="431A5B0A" w:rsidR="009D27A2" w:rsidRPr="00721C2C" w:rsidRDefault="00B61B97" w:rsidP="00ED18D4">
      <w:pPr>
        <w:rPr>
          <w:noProof w:val="0"/>
          <w:color w:val="000000"/>
        </w:rPr>
      </w:pPr>
      <w:r w:rsidRPr="00721C2C">
        <w:rPr>
          <w:b/>
          <w:bCs/>
          <w:noProof w:val="0"/>
          <w:color w:val="000000"/>
        </w:rPr>
        <w:t>1^1.</w:t>
      </w:r>
      <w:r w:rsidRPr="00721C2C">
        <w:rPr>
          <w:noProof w:val="0"/>
          <w:color w:val="000000"/>
        </w:rPr>
        <w:t xml:space="preserve"> </w:t>
      </w:r>
      <w:r w:rsidRPr="00721C2C">
        <w:rPr>
          <w:b/>
          <w:bCs/>
          <w:noProof w:val="0"/>
          <w:color w:val="000000"/>
        </w:rPr>
        <w:t>„eficiență energetică înainte de toate”</w:t>
      </w:r>
      <w:r w:rsidRPr="00721C2C">
        <w:rPr>
          <w:noProof w:val="0"/>
          <w:color w:val="000000"/>
        </w:rPr>
        <w:t xml:space="preserve">  înseamnă eficiența energetică înainte de toate, astfel cum este definită la articolul 2 punctul 18 din Regulamentul (UE) 2018/1999;</w:t>
      </w:r>
    </w:p>
    <w:p w14:paraId="156CA1EA" w14:textId="619A6DDC" w:rsidR="00DD062D" w:rsidRPr="00721C2C" w:rsidRDefault="00333418" w:rsidP="00ED18D4">
      <w:pPr>
        <w:pStyle w:val="Heading5"/>
      </w:pPr>
      <w:r w:rsidRPr="00721C2C">
        <w:lastRenderedPageBreak/>
        <w:t xml:space="preserve">- </w:t>
      </w:r>
      <w:r w:rsidR="008B3715" w:rsidRPr="00721C2C">
        <w:t>La art. 2 pct. 19 se modifică și va avea următorul cuprins:</w:t>
      </w:r>
    </w:p>
    <w:p w14:paraId="1BEB1BAB" w14:textId="48A76019" w:rsidR="008B3715" w:rsidRPr="00721C2C" w:rsidRDefault="008B3715" w:rsidP="00ED18D4">
      <w:pPr>
        <w:rPr>
          <w:bCs/>
          <w:noProof w:val="0"/>
          <w:color w:val="000000"/>
        </w:rPr>
      </w:pPr>
      <w:r w:rsidRPr="00721C2C">
        <w:rPr>
          <w:b/>
          <w:noProof w:val="0"/>
          <w:color w:val="000000"/>
        </w:rPr>
        <w:t xml:space="preserve">19. </w:t>
      </w:r>
      <w:bookmarkStart w:id="2" w:name="_Hlk119336967"/>
      <w:r w:rsidRPr="00721C2C">
        <w:rPr>
          <w:b/>
          <w:noProof w:val="0"/>
          <w:color w:val="000000"/>
        </w:rPr>
        <w:t xml:space="preserve">„contract de achiziție de energie din surse regenerabile” </w:t>
      </w:r>
      <w:r w:rsidRPr="00721C2C">
        <w:rPr>
          <w:bCs/>
          <w:noProof w:val="0"/>
          <w:color w:val="000000"/>
        </w:rPr>
        <w:t>înseamnă un contract în temeiul căruia o persoană fizică sau juridică convine să achiziționeze energie din surse regenerabile direct de la un producător, care cuprinde, fără a se limita la acestea, contracte de achiziționare de energie electrică din surse regenerabile și contracte de achiziție de energie din surse regenerabile pentru încălzire și răcire</w:t>
      </w:r>
      <w:r w:rsidR="00AC768E" w:rsidRPr="00721C2C">
        <w:rPr>
          <w:bCs/>
          <w:noProof w:val="0"/>
          <w:color w:val="000000"/>
        </w:rPr>
        <w:t>;</w:t>
      </w:r>
    </w:p>
    <w:p w14:paraId="53D09329" w14:textId="65A43F9F" w:rsidR="008B3BE6" w:rsidRPr="00721C2C" w:rsidRDefault="00C905D1" w:rsidP="00ED18D4">
      <w:pPr>
        <w:pStyle w:val="Heading5"/>
      </w:pPr>
      <w:r w:rsidRPr="00721C2C">
        <w:t xml:space="preserve">- </w:t>
      </w:r>
      <w:bookmarkEnd w:id="2"/>
      <w:r w:rsidR="00AC768E" w:rsidRPr="00721C2C">
        <w:t>La art. 2 după pct. 28 se introduce un nou pct. (28^1) cu următorul cuprins:</w:t>
      </w:r>
    </w:p>
    <w:p w14:paraId="77B1E4B6" w14:textId="35B6AE6B" w:rsidR="0037794E" w:rsidRPr="00721C2C" w:rsidRDefault="0037794E" w:rsidP="00ED18D4">
      <w:pPr>
        <w:spacing w:line="240" w:lineRule="auto"/>
        <w:rPr>
          <w:b/>
          <w:noProof w:val="0"/>
          <w:color w:val="0D0D0D" w:themeColor="text1" w:themeTint="F2"/>
        </w:rPr>
      </w:pPr>
      <w:r w:rsidRPr="00721C2C">
        <w:rPr>
          <w:b/>
          <w:noProof w:val="0"/>
          <w:color w:val="0D0D0D" w:themeColor="text1" w:themeTint="F2"/>
        </w:rPr>
        <w:t xml:space="preserve">28^1. </w:t>
      </w:r>
      <w:r w:rsidR="00F90037" w:rsidRPr="00721C2C">
        <w:rPr>
          <w:b/>
          <w:noProof w:val="0"/>
          <w:color w:val="0D0D0D" w:themeColor="text1" w:themeTint="F2"/>
        </w:rPr>
        <w:t>„</w:t>
      </w:r>
      <w:r w:rsidRPr="00721C2C">
        <w:rPr>
          <w:b/>
          <w:noProof w:val="0"/>
          <w:color w:val="0D0D0D" w:themeColor="text1" w:themeTint="F2"/>
        </w:rPr>
        <w:t>biomasă forestieră disponibilă în scopuri energetice” :</w:t>
      </w:r>
    </w:p>
    <w:p w14:paraId="7EA01B11" w14:textId="2E30D915" w:rsidR="0037794E" w:rsidRPr="00721C2C" w:rsidRDefault="0037794E" w:rsidP="00ED18D4">
      <w:pPr>
        <w:pStyle w:val="ListParagraph"/>
        <w:numPr>
          <w:ilvl w:val="0"/>
          <w:numId w:val="126"/>
        </w:numPr>
        <w:spacing w:line="240" w:lineRule="auto"/>
        <w:rPr>
          <w:b/>
          <w:noProof w:val="0"/>
          <w:color w:val="0D0D0D" w:themeColor="text1" w:themeTint="F2"/>
        </w:rPr>
      </w:pPr>
      <w:r w:rsidRPr="00721C2C">
        <w:rPr>
          <w:noProof w:val="0"/>
          <w:color w:val="0D0D0D" w:themeColor="text1" w:themeTint="F2"/>
        </w:rPr>
        <w:t>fracţiunea biodegradabilă a produselor rezultate din prelucrarea primară şi secundară pe teritoriul României a lemnului recoltat de pe teritoriul național sau provenit din import/schimburi intracomunitare- coajă, rumeguş, lemnul sub formă de așchii sau particule, tocătura provenită din liniile de profilare, capetele și flancurile buștenilor, resturi de lemn, rezultate în urma prelucrării sau reciclării materialelor lemnoase, precum şi materialele lemnoase declasate în incinta proprie ca urmare a procesului tehnologic de prelucrare a materialelor lemnoase</w:t>
      </w:r>
      <w:r w:rsidR="00413530" w:rsidRPr="00721C2C">
        <w:rPr>
          <w:noProof w:val="0"/>
          <w:color w:val="0D0D0D" w:themeColor="text1" w:themeTint="F2"/>
        </w:rPr>
        <w:t>;</w:t>
      </w:r>
    </w:p>
    <w:p w14:paraId="5F3B4C3E" w14:textId="239B4B5B" w:rsidR="0037794E" w:rsidRPr="00721C2C" w:rsidRDefault="0037794E" w:rsidP="00ED18D4">
      <w:pPr>
        <w:pStyle w:val="ListParagraph"/>
        <w:numPr>
          <w:ilvl w:val="0"/>
          <w:numId w:val="126"/>
        </w:numPr>
        <w:spacing w:line="240" w:lineRule="auto"/>
        <w:rPr>
          <w:noProof w:val="0"/>
          <w:color w:val="0D0D0D" w:themeColor="text1" w:themeTint="F2"/>
        </w:rPr>
      </w:pPr>
      <w:r w:rsidRPr="00721C2C">
        <w:rPr>
          <w:noProof w:val="0"/>
          <w:color w:val="0D0D0D" w:themeColor="text1" w:themeTint="F2"/>
        </w:rPr>
        <w:t>tocătură de lemn, provenită numai din categoriile cuprinse la lit. a).</w:t>
      </w:r>
    </w:p>
    <w:p w14:paraId="2BB5C777" w14:textId="77777777" w:rsidR="0037794E" w:rsidRPr="00721C2C" w:rsidRDefault="0037794E" w:rsidP="00ED18D4">
      <w:pPr>
        <w:rPr>
          <w:noProof w:val="0"/>
        </w:rPr>
      </w:pPr>
    </w:p>
    <w:p w14:paraId="01E07652" w14:textId="581A7292" w:rsidR="00A33FC8" w:rsidRPr="00721C2C" w:rsidRDefault="00A33FC8" w:rsidP="00ED18D4">
      <w:pPr>
        <w:pStyle w:val="Heading5"/>
      </w:pPr>
      <w:r w:rsidRPr="00721C2C">
        <w:t xml:space="preserve">- La art. 2 </w:t>
      </w:r>
      <w:r w:rsidR="00002554" w:rsidRPr="00721C2C">
        <w:t>pct.</w:t>
      </w:r>
      <w:r w:rsidRPr="00721C2C">
        <w:t xml:space="preserve"> 33 se modifică și va avea următorul cuprins:</w:t>
      </w:r>
    </w:p>
    <w:p w14:paraId="6FE30BD3" w14:textId="14C4CCE6" w:rsidR="00002554" w:rsidRPr="00721C2C" w:rsidRDefault="00002554" w:rsidP="00ED18D4">
      <w:pPr>
        <w:rPr>
          <w:noProof w:val="0"/>
        </w:rPr>
      </w:pPr>
      <w:r w:rsidRPr="00721C2C">
        <w:rPr>
          <w:b/>
          <w:bCs/>
          <w:noProof w:val="0"/>
        </w:rPr>
        <w:t>33. „regenerare forestieră”</w:t>
      </w:r>
      <w:r w:rsidRPr="00721C2C">
        <w:rPr>
          <w:noProof w:val="0"/>
        </w:rPr>
        <w:t xml:space="preserve"> înseamnă restabilirea unui arboret prin mijloace naturale sau artificiale în urma îndepărtării arboretului anterior prin aplicarea tratamentelor silviculturale sau ca urmare a recoltării lemnului afectat de factori biotici sau abiotici;</w:t>
      </w:r>
    </w:p>
    <w:p w14:paraId="6AAF7D44" w14:textId="1088DB87" w:rsidR="00F42A0E" w:rsidRPr="00721C2C" w:rsidRDefault="00F42A0E" w:rsidP="00ED18D4">
      <w:pPr>
        <w:pStyle w:val="Heading5"/>
      </w:pPr>
      <w:r w:rsidRPr="00721C2C">
        <w:t xml:space="preserve">- La art. 2 </w:t>
      </w:r>
      <w:r w:rsidR="00A053C3" w:rsidRPr="00721C2C">
        <w:t>pct.</w:t>
      </w:r>
      <w:r w:rsidRPr="00721C2C">
        <w:t xml:space="preserve"> 38 se modifică și va avea următorul cuprins:</w:t>
      </w:r>
    </w:p>
    <w:p w14:paraId="69657FD4" w14:textId="77777777" w:rsidR="00F42A0E" w:rsidRPr="00721C2C" w:rsidRDefault="00F42A0E" w:rsidP="00ED18D4">
      <w:pPr>
        <w:rPr>
          <w:noProof w:val="0"/>
        </w:rPr>
      </w:pPr>
      <w:r w:rsidRPr="00721C2C">
        <w:rPr>
          <w:b/>
          <w:bCs/>
          <w:noProof w:val="0"/>
        </w:rPr>
        <w:t>38. „combustibili din surse regenerabile de origine nebiologică”</w:t>
      </w:r>
      <w:r w:rsidRPr="00721C2C">
        <w:rPr>
          <w:noProof w:val="0"/>
        </w:rPr>
        <w:t xml:space="preserve"> înseamnă combustibili lichizi și gazoși al căror conținut energetic provine din surse regenerabile, altele decât biomasa;</w:t>
      </w:r>
    </w:p>
    <w:p w14:paraId="75E5D7F5" w14:textId="639E58A6" w:rsidR="00F42A0E" w:rsidRPr="00721C2C" w:rsidRDefault="00CB6D79" w:rsidP="00ED18D4">
      <w:pPr>
        <w:pStyle w:val="Heading5"/>
      </w:pPr>
      <w:r w:rsidRPr="00721C2C">
        <w:t xml:space="preserve">- </w:t>
      </w:r>
      <w:r w:rsidR="00F42A0E" w:rsidRPr="00721C2C">
        <w:t xml:space="preserve">La art. 2, după </w:t>
      </w:r>
      <w:r w:rsidR="0082221E" w:rsidRPr="00721C2C">
        <w:t xml:space="preserve">pct. </w:t>
      </w:r>
      <w:r w:rsidR="00F42A0E" w:rsidRPr="00721C2C">
        <w:t xml:space="preserve">52 se introduc 25 </w:t>
      </w:r>
      <w:r w:rsidR="0082221E" w:rsidRPr="00721C2C">
        <w:t xml:space="preserve">pct. </w:t>
      </w:r>
      <w:r w:rsidR="00F42A0E" w:rsidRPr="00721C2C">
        <w:t>noi cu următorul cuprins:</w:t>
      </w:r>
    </w:p>
    <w:p w14:paraId="019056D1" w14:textId="0D9ABA15" w:rsidR="00F42A0E" w:rsidRPr="00721C2C" w:rsidRDefault="00F42A0E" w:rsidP="00ED18D4">
      <w:pPr>
        <w:rPr>
          <w:noProof w:val="0"/>
        </w:rPr>
      </w:pPr>
      <w:r w:rsidRPr="00721C2C">
        <w:rPr>
          <w:b/>
          <w:bCs/>
          <w:noProof w:val="0"/>
        </w:rPr>
        <w:t xml:space="preserve">53. „lemn rotund industrial” </w:t>
      </w:r>
      <w:r w:rsidRPr="00721C2C">
        <w:rPr>
          <w:noProof w:val="0"/>
        </w:rPr>
        <w:t>înseamnă bușteni de gater, bușteni de furnir, lemn pentru celuloză rotund sau despicat, precum și orice alt lemn rotund adecvat pentru scopuri industriale, cu excepția lemnului rotund ale cărui caracteristici, cum ar fi specia, dimensiunile, verticalitatea și densitatea nodurilor, îl fac inadecvat pentru utilizarea industrială după cum este definit și justificat în mod corespunzător în conformitate cu condițiile forestiere relevante;</w:t>
      </w:r>
    </w:p>
    <w:p w14:paraId="0A4D46A4" w14:textId="77777777" w:rsidR="00AB5AAA" w:rsidRPr="00721C2C" w:rsidRDefault="00AB5AAA" w:rsidP="00ED18D4">
      <w:pPr>
        <w:rPr>
          <w:noProof w:val="0"/>
        </w:rPr>
      </w:pPr>
      <w:r w:rsidRPr="00721C2C">
        <w:rPr>
          <w:b/>
          <w:bCs/>
          <w:noProof w:val="0"/>
        </w:rPr>
        <w:t>54. „zonă pretabilă accelerării proiectelor de producere a energiei din surse regenerabile”</w:t>
      </w:r>
      <w:r w:rsidRPr="00721C2C">
        <w:rPr>
          <w:noProof w:val="0"/>
        </w:rPr>
        <w:t xml:space="preserve"> înseamnă o locație sau zonă specifică, terestră sau maritimă sau de ape continentale, care a fost desemnată ca fiind în mod special adecvată pentru instalarea de centrale producătoare de energie din surse regenerabile;</w:t>
      </w:r>
    </w:p>
    <w:p w14:paraId="519BBA5F" w14:textId="77777777" w:rsidR="00AB5AAA" w:rsidRPr="00721C2C" w:rsidRDefault="00AB5AAA" w:rsidP="00ED18D4">
      <w:pPr>
        <w:rPr>
          <w:noProof w:val="0"/>
        </w:rPr>
      </w:pPr>
      <w:r w:rsidRPr="00721C2C">
        <w:rPr>
          <w:b/>
          <w:bCs/>
          <w:noProof w:val="0"/>
        </w:rPr>
        <w:t>55. „echipamente de energie solară”</w:t>
      </w:r>
      <w:r w:rsidRPr="00721C2C">
        <w:rPr>
          <w:noProof w:val="0"/>
        </w:rPr>
        <w:t xml:space="preserve"> înseamnă echipamente care convertesc energia solară în energie termică sau electrică, în special echipamente termice solare și echipamente fotovoltaice solare;</w:t>
      </w:r>
    </w:p>
    <w:p w14:paraId="5E49C293" w14:textId="77777777" w:rsidR="00AB5AAA" w:rsidRPr="00721C2C" w:rsidRDefault="00AB5AAA" w:rsidP="00ED18D4">
      <w:pPr>
        <w:rPr>
          <w:noProof w:val="0"/>
          <w:color w:val="000000"/>
        </w:rPr>
      </w:pPr>
      <w:r w:rsidRPr="00721C2C">
        <w:rPr>
          <w:noProof w:val="0"/>
          <w:color w:val="000000"/>
        </w:rPr>
        <w:t>56. „zonă de ofertare” înseamnă o zonă de ofertare în sensul definiției de la art. 2 pct. 65 din Regulamentul (UE) 2019/943 al Parlamentului European și al Consiliului;</w:t>
      </w:r>
    </w:p>
    <w:p w14:paraId="605EF345" w14:textId="77777777" w:rsidR="00AB5AAA" w:rsidRPr="00721C2C" w:rsidRDefault="00AB5AAA" w:rsidP="00ED18D4">
      <w:pPr>
        <w:rPr>
          <w:noProof w:val="0"/>
          <w:color w:val="000000"/>
        </w:rPr>
      </w:pPr>
      <w:r w:rsidRPr="00721C2C">
        <w:rPr>
          <w:b/>
          <w:bCs/>
          <w:noProof w:val="0"/>
          <w:color w:val="000000"/>
        </w:rPr>
        <w:lastRenderedPageBreak/>
        <w:t>57. „tehnologie inovatoare în domeniul energiei din surse regenerabile”</w:t>
      </w:r>
      <w:r w:rsidRPr="00721C2C">
        <w:rPr>
          <w:noProof w:val="0"/>
          <w:color w:val="000000"/>
        </w:rPr>
        <w:t xml:space="preserve"> înseamnă tehnologie de producere a energiei din surse regenerabile care îmbunătățește, cel puțin într-un mod, tehnologia comparabilă de ultimă generație în materie de energie din surse regenerabile sau face ca o tehnologie de energie regenerabilă care nu este pe deplin comercializată sau care implică un grad clar de risc să devină exploatabilă;</w:t>
      </w:r>
    </w:p>
    <w:p w14:paraId="35A77C54" w14:textId="644A9D04" w:rsidR="00AB5AAA" w:rsidRPr="00721C2C" w:rsidRDefault="00AB5AAA" w:rsidP="00ED18D4">
      <w:pPr>
        <w:rPr>
          <w:noProof w:val="0"/>
          <w:color w:val="000000"/>
        </w:rPr>
      </w:pPr>
      <w:r w:rsidRPr="00721C2C">
        <w:rPr>
          <w:b/>
          <w:bCs/>
          <w:noProof w:val="0"/>
          <w:color w:val="000000"/>
        </w:rPr>
        <w:t xml:space="preserve">58. </w:t>
      </w:r>
      <w:r w:rsidR="00840CD9" w:rsidRPr="00721C2C">
        <w:rPr>
          <w:b/>
          <w:bCs/>
          <w:noProof w:val="0"/>
          <w:color w:val="000000"/>
        </w:rPr>
        <w:t>„</w:t>
      </w:r>
      <w:r w:rsidRPr="00721C2C">
        <w:rPr>
          <w:b/>
          <w:bCs/>
          <w:noProof w:val="0"/>
          <w:color w:val="000000"/>
        </w:rPr>
        <w:t>sistem de contorizare inteligentă”</w:t>
      </w:r>
      <w:r w:rsidRPr="00721C2C">
        <w:rPr>
          <w:noProof w:val="0"/>
          <w:color w:val="000000"/>
        </w:rPr>
        <w:t xml:space="preserve"> definit în conformitate cu pct. 117 art. 3 din Legea energiei electrice și a gazelor naturale nr. 123/2012, cu modificările şi completările ulterioare;</w:t>
      </w:r>
    </w:p>
    <w:p w14:paraId="75596952" w14:textId="77777777" w:rsidR="00AB5AAA" w:rsidRPr="00721C2C" w:rsidRDefault="00AB5AAA" w:rsidP="00ED18D4">
      <w:pPr>
        <w:rPr>
          <w:noProof w:val="0"/>
          <w:color w:val="000000"/>
        </w:rPr>
      </w:pPr>
      <w:r w:rsidRPr="00721C2C">
        <w:rPr>
          <w:b/>
          <w:bCs/>
          <w:noProof w:val="0"/>
          <w:color w:val="000000"/>
        </w:rPr>
        <w:t>59. „punct de reîncărcare”</w:t>
      </w:r>
      <w:r w:rsidRPr="00721C2C">
        <w:rPr>
          <w:noProof w:val="0"/>
          <w:color w:val="000000"/>
        </w:rPr>
        <w:t xml:space="preserve">  înseamnă o interfață fixă sau mobilă, conectată sau neconectată la rețea, pentru transferul de energie electrică către un vehicul electric, care, deși poate avea unul sau mai mulți conectori adaptați diferitelor tipuri de conectori, este capabilă să reîncarce un singur vehicul electric o dată și care exclude dispozitivele cu o putere de ieșire mai mică sau egală cu 3,7 kW al căror scop principal nu este reîncărcarea vehiculelor electrice;</w:t>
      </w:r>
    </w:p>
    <w:p w14:paraId="022A6195" w14:textId="77777777" w:rsidR="00AB5AAA" w:rsidRPr="00721C2C" w:rsidRDefault="00AB5AAA" w:rsidP="00ED18D4">
      <w:pPr>
        <w:rPr>
          <w:noProof w:val="0"/>
          <w:color w:val="000000"/>
        </w:rPr>
      </w:pPr>
      <w:r w:rsidRPr="00721C2C">
        <w:rPr>
          <w:b/>
          <w:bCs/>
          <w:noProof w:val="0"/>
          <w:color w:val="000000"/>
        </w:rPr>
        <w:t xml:space="preserve"> 60. „participant la piață”</w:t>
      </w:r>
      <w:r w:rsidRPr="00721C2C">
        <w:rPr>
          <w:noProof w:val="0"/>
          <w:color w:val="000000"/>
        </w:rPr>
        <w:t xml:space="preserve"> definit în conformitate cu pct. 79 art. 2 din Legea energiei electrice și a gazelor naturale nr. 123/2012, cu modificările şi completările ulterioare;</w:t>
      </w:r>
    </w:p>
    <w:p w14:paraId="2EEE4F19" w14:textId="00C73753" w:rsidR="00AB5AAA" w:rsidRPr="00721C2C" w:rsidRDefault="00AB5AAA" w:rsidP="00ED18D4">
      <w:pPr>
        <w:rPr>
          <w:noProof w:val="0"/>
          <w:color w:val="000000"/>
        </w:rPr>
      </w:pPr>
      <w:r w:rsidRPr="00721C2C">
        <w:rPr>
          <w:b/>
          <w:bCs/>
          <w:noProof w:val="0"/>
          <w:color w:val="000000"/>
        </w:rPr>
        <w:t xml:space="preserve">61. </w:t>
      </w:r>
      <w:r w:rsidR="00840CD9" w:rsidRPr="00721C2C">
        <w:rPr>
          <w:b/>
          <w:bCs/>
          <w:noProof w:val="0"/>
          <w:color w:val="000000"/>
        </w:rPr>
        <w:t>„</w:t>
      </w:r>
      <w:r w:rsidRPr="00721C2C">
        <w:rPr>
          <w:b/>
          <w:bCs/>
          <w:noProof w:val="0"/>
          <w:color w:val="000000"/>
        </w:rPr>
        <w:t>piață de energie electrică”</w:t>
      </w:r>
      <w:r w:rsidRPr="00721C2C">
        <w:rPr>
          <w:noProof w:val="0"/>
          <w:color w:val="000000"/>
        </w:rPr>
        <w:t xml:space="preserve"> definit în conformitate cu pct. 81 art. 2 din Legea energiei electrice și a gazelor naturale nr. 123/2012, cu modificările şi completările ulterioare;</w:t>
      </w:r>
    </w:p>
    <w:p w14:paraId="075D2DE2" w14:textId="77777777" w:rsidR="00AB5AAA" w:rsidRPr="00721C2C" w:rsidRDefault="00AB5AAA" w:rsidP="00ED18D4">
      <w:pPr>
        <w:rPr>
          <w:noProof w:val="0"/>
          <w:color w:val="000000"/>
        </w:rPr>
      </w:pPr>
      <w:r w:rsidRPr="00721C2C">
        <w:rPr>
          <w:b/>
          <w:bCs/>
          <w:noProof w:val="0"/>
          <w:color w:val="000000"/>
        </w:rPr>
        <w:t>62. „baterie de uz casnic”</w:t>
      </w:r>
      <w:r w:rsidRPr="00721C2C">
        <w:rPr>
          <w:noProof w:val="0"/>
          <w:color w:val="000000"/>
        </w:rPr>
        <w:t xml:space="preserve"> înseamnă o baterie reîncărcabilă de sine stătătoare cu o capacitate nominală mai mare de 2 kWh, care este adecvată pentru instalare și utilizare într-un mediu casnic;</w:t>
      </w:r>
    </w:p>
    <w:p w14:paraId="1CB5D945" w14:textId="77777777" w:rsidR="00AB5AAA" w:rsidRPr="00721C2C" w:rsidRDefault="00AB5AAA" w:rsidP="00ED18D4">
      <w:pPr>
        <w:rPr>
          <w:noProof w:val="0"/>
          <w:color w:val="000000"/>
        </w:rPr>
      </w:pPr>
      <w:r w:rsidRPr="00721C2C">
        <w:rPr>
          <w:b/>
          <w:bCs/>
          <w:noProof w:val="0"/>
          <w:color w:val="000000"/>
        </w:rPr>
        <w:t>63. „baterie pentru vehicule electrice”</w:t>
      </w:r>
      <w:r w:rsidRPr="00721C2C">
        <w:rPr>
          <w:noProof w:val="0"/>
          <w:color w:val="000000"/>
        </w:rPr>
        <w:t xml:space="preserve"> înseamnă o baterie pentru vehicule electrice în sensul definiției de la art. 3 alin. (1) pct. 14 din Regulamentul (UE) 2023/1542 al Parlamentului European și al Consiliului;</w:t>
      </w:r>
    </w:p>
    <w:p w14:paraId="075CFF51" w14:textId="77777777" w:rsidR="00AB5AAA" w:rsidRPr="00721C2C" w:rsidRDefault="00AB5AAA" w:rsidP="00ED18D4">
      <w:pPr>
        <w:rPr>
          <w:noProof w:val="0"/>
          <w:color w:val="000000"/>
        </w:rPr>
      </w:pPr>
      <w:r w:rsidRPr="00721C2C">
        <w:rPr>
          <w:b/>
          <w:bCs/>
          <w:noProof w:val="0"/>
          <w:color w:val="000000"/>
        </w:rPr>
        <w:t>64. „baterie industrială”</w:t>
      </w:r>
      <w:r w:rsidRPr="00721C2C">
        <w:rPr>
          <w:noProof w:val="0"/>
          <w:color w:val="000000"/>
        </w:rPr>
        <w:t xml:space="preserve"> înseamnă o baterie industrială în sensul definiției de la art. 3 alin. (1) pct. 13 din Regulamentul (UE) 2023/1542;</w:t>
      </w:r>
    </w:p>
    <w:p w14:paraId="15BB7256" w14:textId="77777777" w:rsidR="00AB5AAA" w:rsidRPr="00721C2C" w:rsidRDefault="00AB5AAA" w:rsidP="00ED18D4">
      <w:pPr>
        <w:rPr>
          <w:noProof w:val="0"/>
          <w:color w:val="000000"/>
        </w:rPr>
      </w:pPr>
      <w:r w:rsidRPr="00721C2C">
        <w:rPr>
          <w:b/>
          <w:bCs/>
          <w:noProof w:val="0"/>
          <w:color w:val="000000"/>
        </w:rPr>
        <w:t>65. „grad de uzură”</w:t>
      </w:r>
      <w:r w:rsidRPr="00721C2C">
        <w:rPr>
          <w:noProof w:val="0"/>
          <w:color w:val="000000"/>
        </w:rPr>
        <w:t xml:space="preserve"> în sensul definiției de la art. 3 alin. (1) pct. 28 din Regulamentul (UE) 2023/1542;</w:t>
      </w:r>
    </w:p>
    <w:p w14:paraId="531E11A7" w14:textId="77777777" w:rsidR="00AB5AAA" w:rsidRPr="00721C2C" w:rsidRDefault="00AB5AAA" w:rsidP="00ED18D4">
      <w:pPr>
        <w:rPr>
          <w:noProof w:val="0"/>
          <w:color w:val="000000"/>
        </w:rPr>
      </w:pPr>
      <w:r w:rsidRPr="00721C2C">
        <w:rPr>
          <w:b/>
          <w:bCs/>
          <w:noProof w:val="0"/>
          <w:color w:val="000000"/>
        </w:rPr>
        <w:t>66. „nivelul de încărcare”</w:t>
      </w:r>
      <w:r w:rsidRPr="00721C2C">
        <w:rPr>
          <w:noProof w:val="0"/>
          <w:color w:val="000000"/>
        </w:rPr>
        <w:t xml:space="preserve"> înseamnă nivelul de încărcare în sensul definiției de la art. 3 alin. (1) pct. 27 din Regulamentul (UE) 2023/1542;</w:t>
      </w:r>
    </w:p>
    <w:p w14:paraId="4398074A" w14:textId="77777777" w:rsidR="00AB5AAA" w:rsidRPr="00721C2C" w:rsidRDefault="00AB5AAA" w:rsidP="00ED18D4">
      <w:pPr>
        <w:rPr>
          <w:noProof w:val="0"/>
          <w:color w:val="000000"/>
        </w:rPr>
      </w:pPr>
      <w:r w:rsidRPr="00721C2C">
        <w:rPr>
          <w:b/>
          <w:bCs/>
          <w:noProof w:val="0"/>
          <w:color w:val="000000"/>
        </w:rPr>
        <w:t>67. „valoare de referință a puterii”</w:t>
      </w:r>
      <w:r w:rsidRPr="00721C2C">
        <w:rPr>
          <w:noProof w:val="0"/>
          <w:color w:val="000000"/>
        </w:rPr>
        <w:t xml:space="preserve"> înseamnă informațiile dinamice deținute în sistemul de gestionare al unei baterii care prescriu setările de energie electrică la care bateria ar trebui să funcționeze în mod optim în timpul unei operațiuni de reîncărcare sau de descărcare, pentru a se optimiza starea sa de sănătate și utilizarea sa operațională;</w:t>
      </w:r>
    </w:p>
    <w:p w14:paraId="3A5C70A2" w14:textId="77777777" w:rsidR="00AB5AAA" w:rsidRPr="00721C2C" w:rsidRDefault="00AB5AAA" w:rsidP="00ED18D4">
      <w:pPr>
        <w:rPr>
          <w:noProof w:val="0"/>
          <w:color w:val="000000"/>
        </w:rPr>
      </w:pPr>
      <w:r w:rsidRPr="00721C2C">
        <w:rPr>
          <w:b/>
          <w:bCs/>
          <w:noProof w:val="0"/>
          <w:color w:val="000000"/>
        </w:rPr>
        <w:t>68. „reîncărcare inteligentă”</w:t>
      </w:r>
      <w:r w:rsidRPr="00721C2C">
        <w:rPr>
          <w:noProof w:val="0"/>
          <w:color w:val="000000"/>
        </w:rPr>
        <w:t xml:space="preserve"> înseamnă o operațiune de reîncărcare în cazul căreia intensitatea energiei electrice furnizate bateriei este ajustată în mod dinamic, pe baza informațiilor primite prin intermediul comunicațiilor electronice;</w:t>
      </w:r>
    </w:p>
    <w:p w14:paraId="0759CD06" w14:textId="77777777" w:rsidR="00AB5AAA" w:rsidRPr="00721C2C" w:rsidRDefault="00AB5AAA" w:rsidP="00ED18D4">
      <w:pPr>
        <w:rPr>
          <w:noProof w:val="0"/>
          <w:color w:val="000000"/>
        </w:rPr>
      </w:pPr>
      <w:r w:rsidRPr="00721C2C">
        <w:rPr>
          <w:b/>
          <w:bCs/>
          <w:noProof w:val="0"/>
          <w:color w:val="000000"/>
        </w:rPr>
        <w:t>69. „reîncărcare bidirecțională”</w:t>
      </w:r>
      <w:r w:rsidRPr="00721C2C">
        <w:rPr>
          <w:noProof w:val="0"/>
          <w:color w:val="000000"/>
        </w:rPr>
        <w:t xml:space="preserve"> înseamnă reîncărcare bidirecțională în sensul definiției de la art. 2 pct. 11 din Regulamentul (UE) 2023/1804;</w:t>
      </w:r>
    </w:p>
    <w:p w14:paraId="1B1B0E50" w14:textId="77777777" w:rsidR="00AB5AAA" w:rsidRPr="00721C2C" w:rsidRDefault="00AB5AAA" w:rsidP="00ED18D4">
      <w:pPr>
        <w:rPr>
          <w:noProof w:val="0"/>
          <w:color w:val="000000"/>
        </w:rPr>
      </w:pPr>
      <w:r w:rsidRPr="00721C2C">
        <w:rPr>
          <w:b/>
          <w:bCs/>
          <w:noProof w:val="0"/>
          <w:color w:val="000000"/>
        </w:rPr>
        <w:lastRenderedPageBreak/>
        <w:t>70. „punct de reîncărcare de putere normală”</w:t>
      </w:r>
      <w:r w:rsidRPr="00721C2C">
        <w:rPr>
          <w:noProof w:val="0"/>
          <w:color w:val="000000"/>
        </w:rPr>
        <w:t xml:space="preserve"> înseamnă un punct de reîncărcare de putere normală, în sensul definiției de la art. 2 pct. 37 din Regulamentul (UE) 2023/1804;</w:t>
      </w:r>
    </w:p>
    <w:p w14:paraId="7800D033" w14:textId="77777777" w:rsidR="00AB5AAA" w:rsidRPr="00721C2C" w:rsidRDefault="00AB5AAA" w:rsidP="00ED18D4">
      <w:pPr>
        <w:rPr>
          <w:noProof w:val="0"/>
          <w:color w:val="000000"/>
        </w:rPr>
      </w:pPr>
      <w:r w:rsidRPr="00721C2C">
        <w:rPr>
          <w:b/>
          <w:bCs/>
          <w:noProof w:val="0"/>
          <w:color w:val="000000"/>
        </w:rPr>
        <w:t xml:space="preserve">71 . „industrie” </w:t>
      </w:r>
      <w:r w:rsidRPr="00721C2C">
        <w:rPr>
          <w:noProof w:val="0"/>
          <w:color w:val="000000"/>
        </w:rPr>
        <w:t>înseamnă întreprinderile și produsele care intră sub incidența secțiunilor B, C și F, precum și a secțiunii J diviziunea 63 din Nomenclatorul statistic al activităților economice (NACE REV.2), astfel cum este stabilit în Regulamentul (CE) nr. 1893/2006 al Parlamentului European și al Consiliului;</w:t>
      </w:r>
    </w:p>
    <w:p w14:paraId="52403D1F" w14:textId="77777777" w:rsidR="00AB5AAA" w:rsidRPr="00721C2C" w:rsidRDefault="00AB5AAA" w:rsidP="00ED18D4">
      <w:pPr>
        <w:rPr>
          <w:noProof w:val="0"/>
          <w:color w:val="000000"/>
        </w:rPr>
      </w:pPr>
      <w:r w:rsidRPr="00721C2C">
        <w:rPr>
          <w:b/>
          <w:bCs/>
          <w:noProof w:val="0"/>
          <w:color w:val="000000"/>
        </w:rPr>
        <w:t xml:space="preserve">72. „scop neenergetic” </w:t>
      </w:r>
      <w:r w:rsidRPr="00721C2C">
        <w:rPr>
          <w:noProof w:val="0"/>
          <w:color w:val="000000"/>
        </w:rPr>
        <w:t>înseamnă utilizarea combustibililor ca materii prime într-un proces industrial, în loc de a fi utilizați pentru a produce energie electrică;</w:t>
      </w:r>
    </w:p>
    <w:p w14:paraId="0575AD33" w14:textId="68E15642" w:rsidR="00AB5AAA" w:rsidRPr="00721C2C" w:rsidRDefault="00AB5AAA" w:rsidP="00ED18D4">
      <w:pPr>
        <w:rPr>
          <w:noProof w:val="0"/>
          <w:color w:val="000000"/>
        </w:rPr>
      </w:pPr>
      <w:r w:rsidRPr="00721C2C">
        <w:rPr>
          <w:b/>
          <w:bCs/>
          <w:noProof w:val="0"/>
          <w:color w:val="000000"/>
        </w:rPr>
        <w:t xml:space="preserve">73. </w:t>
      </w:r>
      <w:r w:rsidR="00B92DB1" w:rsidRPr="00721C2C">
        <w:rPr>
          <w:b/>
          <w:bCs/>
          <w:noProof w:val="0"/>
          <w:color w:val="000000"/>
        </w:rPr>
        <w:t>„</w:t>
      </w:r>
      <w:r w:rsidRPr="00721C2C">
        <w:rPr>
          <w:b/>
          <w:bCs/>
          <w:noProof w:val="0"/>
          <w:color w:val="000000"/>
        </w:rPr>
        <w:t xml:space="preserve">combustibili din surse regenerabile” </w:t>
      </w:r>
      <w:r w:rsidRPr="00721C2C">
        <w:rPr>
          <w:noProof w:val="0"/>
          <w:color w:val="000000"/>
        </w:rPr>
        <w:t>înseamnă biocombustibili, biolichide, combustibili din biomasă și combustibili din surse regenerabile de origine nebiologică;</w:t>
      </w:r>
    </w:p>
    <w:p w14:paraId="0E823654" w14:textId="77777777" w:rsidR="00AB5AAA" w:rsidRPr="00721C2C" w:rsidRDefault="00AB5AAA" w:rsidP="00ED18D4">
      <w:pPr>
        <w:rPr>
          <w:noProof w:val="0"/>
          <w:color w:val="000000"/>
        </w:rPr>
      </w:pPr>
      <w:r w:rsidRPr="00721C2C">
        <w:rPr>
          <w:b/>
          <w:bCs/>
          <w:noProof w:val="0"/>
          <w:color w:val="000000"/>
        </w:rPr>
        <w:t>74. „plantație forestieră”</w:t>
      </w:r>
      <w:r w:rsidRPr="00721C2C">
        <w:rPr>
          <w:noProof w:val="0"/>
          <w:color w:val="000000"/>
        </w:rPr>
        <w:t xml:space="preserve"> înseamnă o plantație forestieră în sensul definiției de la art. 2 pct. 11 din Regulamentul (UE) 2023/1115 al Parlamentului European și al Consiliului;</w:t>
      </w:r>
    </w:p>
    <w:p w14:paraId="346ADBDB" w14:textId="5399C904" w:rsidR="00AB5AAA" w:rsidRPr="00721C2C" w:rsidRDefault="00AB5AAA" w:rsidP="00ED18D4">
      <w:pPr>
        <w:rPr>
          <w:noProof w:val="0"/>
          <w:color w:val="000000"/>
        </w:rPr>
      </w:pPr>
      <w:r w:rsidRPr="00721C2C">
        <w:rPr>
          <w:b/>
          <w:bCs/>
          <w:noProof w:val="0"/>
          <w:color w:val="000000"/>
        </w:rPr>
        <w:t>75. „energie osmotică”</w:t>
      </w:r>
      <w:r w:rsidRPr="00721C2C">
        <w:rPr>
          <w:noProof w:val="0"/>
          <w:color w:val="000000"/>
        </w:rPr>
        <w:t xml:space="preserve"> înseamnă energia creată din diferența concentrațiilor de sare ale două fluide, cum ar fi apă dulce și apă sărată</w:t>
      </w:r>
      <w:r w:rsidR="0014171B" w:rsidRPr="00721C2C">
        <w:rPr>
          <w:noProof w:val="0"/>
          <w:color w:val="000000"/>
        </w:rPr>
        <w:t>;</w:t>
      </w:r>
    </w:p>
    <w:p w14:paraId="028121E6" w14:textId="7FEEC2F5" w:rsidR="00AB5AAA" w:rsidRPr="00721C2C" w:rsidRDefault="00AB5AAA" w:rsidP="00ED18D4">
      <w:pPr>
        <w:rPr>
          <w:noProof w:val="0"/>
          <w:color w:val="000000"/>
        </w:rPr>
      </w:pPr>
      <w:r w:rsidRPr="00721C2C">
        <w:rPr>
          <w:b/>
          <w:bCs/>
          <w:noProof w:val="0"/>
          <w:color w:val="000000"/>
        </w:rPr>
        <w:t>76. „eficiență a sistemului”</w:t>
      </w:r>
      <w:r w:rsidRPr="00721C2C">
        <w:rPr>
          <w:noProof w:val="0"/>
          <w:color w:val="000000"/>
        </w:rPr>
        <w:t xml:space="preserve"> înseamnă selectarea de soluții eficiente din punct de vedere energetic, în cazul în care acestea permit, de asemenea, o cale de decarbonizare rentabilă, o flexibilitate suplimentară și utilizarea eficientă a resurselor</w:t>
      </w:r>
      <w:r w:rsidR="0014171B" w:rsidRPr="00721C2C">
        <w:rPr>
          <w:noProof w:val="0"/>
          <w:color w:val="000000"/>
        </w:rPr>
        <w:t>;</w:t>
      </w:r>
    </w:p>
    <w:p w14:paraId="2EFE3704" w14:textId="11C255EE" w:rsidR="00AB5AAA" w:rsidRPr="00721C2C" w:rsidRDefault="00AB5AAA" w:rsidP="00ED18D4">
      <w:pPr>
        <w:rPr>
          <w:noProof w:val="0"/>
          <w:color w:val="000000"/>
        </w:rPr>
      </w:pPr>
      <w:r w:rsidRPr="00721C2C">
        <w:rPr>
          <w:b/>
          <w:bCs/>
          <w:noProof w:val="0"/>
          <w:color w:val="000000"/>
        </w:rPr>
        <w:t>77. „stocarea energiei în același amplasament”</w:t>
      </w:r>
      <w:r w:rsidRPr="00721C2C">
        <w:rPr>
          <w:noProof w:val="0"/>
          <w:color w:val="000000"/>
        </w:rPr>
        <w:t xml:space="preserve"> înseamnă o instalație de stocare a energiei combinată cu o instalație care produce energie din surse regenerabile și care este racordată la același punct de acces la rețea</w:t>
      </w:r>
      <w:r w:rsidR="0014171B" w:rsidRPr="00721C2C">
        <w:rPr>
          <w:noProof w:val="0"/>
          <w:color w:val="000000"/>
        </w:rPr>
        <w:t>;</w:t>
      </w:r>
    </w:p>
    <w:p w14:paraId="03AA6750" w14:textId="636835E1" w:rsidR="00834AAD" w:rsidRPr="00721C2C" w:rsidRDefault="00AB5AAA" w:rsidP="00ED18D4">
      <w:pPr>
        <w:rPr>
          <w:noProof w:val="0"/>
          <w:color w:val="000000"/>
        </w:rPr>
      </w:pPr>
      <w:r w:rsidRPr="00721C2C">
        <w:rPr>
          <w:b/>
          <w:bCs/>
          <w:noProof w:val="0"/>
          <w:color w:val="000000"/>
        </w:rPr>
        <w:t>78.  „vehicul electric solar”</w:t>
      </w:r>
      <w:r w:rsidRPr="00721C2C">
        <w:rPr>
          <w:noProof w:val="0"/>
          <w:color w:val="000000"/>
        </w:rPr>
        <w:t xml:space="preserve"> înseamnă un autovehicul dotat cu un grup motopropulsor care conține doar dispozitive electrice nonperiferice cu funcția de convertizoare de energie cu un sistem electric reîncărcabil de stocare a energiei, care poate fi reîncărcat extern și care este echipat și cu panouri fotovoltaice integrate în vehicul.</w:t>
      </w:r>
    </w:p>
    <w:p w14:paraId="0ACD66D6" w14:textId="0AFA04C2" w:rsidR="0083607C" w:rsidRPr="00721C2C" w:rsidRDefault="0083607C" w:rsidP="00ED18D4">
      <w:pPr>
        <w:pStyle w:val="Heading5"/>
      </w:pPr>
      <w:r w:rsidRPr="00721C2C">
        <w:t>- La art. 3 alin. (1) se modifică și va avea următorul cuprins:</w:t>
      </w:r>
    </w:p>
    <w:p w14:paraId="6A273733" w14:textId="43C7B11F" w:rsidR="0083607C" w:rsidRPr="00721C2C" w:rsidRDefault="0083607C" w:rsidP="00ED18D4">
      <w:pPr>
        <w:pStyle w:val="ListParagraph"/>
        <w:numPr>
          <w:ilvl w:val="0"/>
          <w:numId w:val="135"/>
        </w:numPr>
        <w:rPr>
          <w:noProof w:val="0"/>
          <w:color w:val="000000"/>
        </w:rPr>
      </w:pPr>
      <w:r w:rsidRPr="00721C2C">
        <w:rPr>
          <w:noProof w:val="0"/>
          <w:color w:val="000000"/>
        </w:rPr>
        <w:t>România împreună cu celelalte state membre ale UE:</w:t>
      </w:r>
    </w:p>
    <w:p w14:paraId="7D7D9AC8" w14:textId="2A0908A1" w:rsidR="0083607C" w:rsidRPr="00721C2C" w:rsidRDefault="0083607C" w:rsidP="00ED18D4">
      <w:pPr>
        <w:pStyle w:val="ListParagraph"/>
        <w:numPr>
          <w:ilvl w:val="0"/>
          <w:numId w:val="133"/>
        </w:numPr>
        <w:rPr>
          <w:noProof w:val="0"/>
          <w:color w:val="000000"/>
        </w:rPr>
      </w:pPr>
      <w:r w:rsidRPr="00721C2C">
        <w:rPr>
          <w:noProof w:val="0"/>
          <w:color w:val="000000"/>
        </w:rPr>
        <w:t xml:space="preserve">asigură în mod colectiv faptul că ponderea energiei din surse regenerabile în consumul final brut de energie al Uniunii în 2030 este de cel puțin 42,5 %, </w:t>
      </w:r>
    </w:p>
    <w:p w14:paraId="0F856055" w14:textId="19880657" w:rsidR="0083607C" w:rsidRPr="00721C2C" w:rsidRDefault="0083607C" w:rsidP="00ED18D4">
      <w:pPr>
        <w:pStyle w:val="ListParagraph"/>
        <w:numPr>
          <w:ilvl w:val="0"/>
          <w:numId w:val="133"/>
        </w:numPr>
        <w:rPr>
          <w:noProof w:val="0"/>
          <w:color w:val="000000"/>
        </w:rPr>
      </w:pPr>
      <w:r w:rsidRPr="00721C2C">
        <w:rPr>
          <w:noProof w:val="0"/>
          <w:color w:val="000000"/>
        </w:rPr>
        <w:t>depun eforturi colective pentru a mări ponderea energiei din surse regenerabile în consumul final brut de energie al Uniunii în 2030 la 45 %.</w:t>
      </w:r>
    </w:p>
    <w:p w14:paraId="7811BF85" w14:textId="5553805A" w:rsidR="00620F27" w:rsidRPr="00721C2C" w:rsidRDefault="00620F27" w:rsidP="00ED18D4">
      <w:pPr>
        <w:pStyle w:val="Heading5"/>
      </w:pPr>
      <w:r w:rsidRPr="00721C2C">
        <w:t>- La art. 3 după alin. (1) se introduc 3 noi alineate, alin. (1^1) - (1^3) și vor avea următorul cuprins:</w:t>
      </w:r>
    </w:p>
    <w:p w14:paraId="31582856" w14:textId="197C8309" w:rsidR="00F33B6F" w:rsidRPr="00721C2C" w:rsidRDefault="00F33B6F" w:rsidP="00ED18D4">
      <w:pPr>
        <w:ind w:left="360" w:firstLine="0"/>
        <w:rPr>
          <w:noProof w:val="0"/>
          <w:color w:val="000000"/>
        </w:rPr>
      </w:pPr>
      <w:r w:rsidRPr="00721C2C">
        <w:rPr>
          <w:noProof w:val="0"/>
          <w:color w:val="000000"/>
        </w:rPr>
        <w:t>(1^1) Până în 2030, se stabilește la nivel național un obiectiv orientativ pentru tehnologiile inovatoare în domeniul energiei din surse regenerabile de cel puțin 5 % din noua capacitate instalată de producere a energiei din surse regenerabile.</w:t>
      </w:r>
    </w:p>
    <w:p w14:paraId="1E1041F0" w14:textId="554F4B94" w:rsidR="00F33B6F" w:rsidRPr="00721C2C" w:rsidRDefault="00F33B6F" w:rsidP="00ED18D4">
      <w:pPr>
        <w:ind w:left="360" w:firstLine="0"/>
        <w:rPr>
          <w:noProof w:val="0"/>
          <w:color w:val="000000"/>
        </w:rPr>
      </w:pPr>
      <w:r w:rsidRPr="00721C2C">
        <w:rPr>
          <w:noProof w:val="0"/>
          <w:color w:val="000000"/>
        </w:rPr>
        <w:t xml:space="preserve">(1^2) În condițiile prevederilor art. 5 din Legea nr. 123/2012 ministerul de resort poate solicita </w:t>
      </w:r>
      <w:r w:rsidR="00771161" w:rsidRPr="00721C2C">
        <w:rPr>
          <w:noProof w:val="0"/>
          <w:color w:val="000000"/>
        </w:rPr>
        <w:t xml:space="preserve">MMAP </w:t>
      </w:r>
      <w:r w:rsidRPr="00721C2C">
        <w:rPr>
          <w:noProof w:val="0"/>
          <w:color w:val="000000"/>
        </w:rPr>
        <w:t>derogarea de la principiul utilizării în cascadă a biomasei.</w:t>
      </w:r>
    </w:p>
    <w:p w14:paraId="70BE4DBB" w14:textId="71379FC1" w:rsidR="00F33B6F" w:rsidRPr="00721C2C" w:rsidRDefault="00F33B6F" w:rsidP="00ED18D4">
      <w:pPr>
        <w:ind w:left="360" w:firstLine="0"/>
        <w:rPr>
          <w:noProof w:val="0"/>
          <w:color w:val="000000"/>
        </w:rPr>
      </w:pPr>
      <w:r w:rsidRPr="00721C2C">
        <w:rPr>
          <w:noProof w:val="0"/>
          <w:color w:val="000000"/>
        </w:rPr>
        <w:t xml:space="preserve">(1^3) </w:t>
      </w:r>
      <w:r w:rsidR="00771161" w:rsidRPr="00721C2C">
        <w:rPr>
          <w:noProof w:val="0"/>
          <w:color w:val="000000"/>
        </w:rPr>
        <w:t>MMAP</w:t>
      </w:r>
      <w:r w:rsidRPr="00721C2C">
        <w:rPr>
          <w:noProof w:val="0"/>
          <w:color w:val="000000"/>
        </w:rPr>
        <w:t xml:space="preserve"> poate, de asemenea, deroga de la principiul respectiv atunci când industria locală nu este în măsură, din punct de vedere cantitativ sau tehnic, să utilizeze biomasa </w:t>
      </w:r>
      <w:r w:rsidRPr="00721C2C">
        <w:rPr>
          <w:noProof w:val="0"/>
          <w:color w:val="000000"/>
        </w:rPr>
        <w:lastRenderedPageBreak/>
        <w:t>forestieră pentru o valoare adăugată economică și de mediu superioară producerii energiei, pentru materiile prime provenite din:</w:t>
      </w:r>
    </w:p>
    <w:p w14:paraId="4FB8EBF4" w14:textId="169D5156" w:rsidR="00F33B6F" w:rsidRPr="00721C2C" w:rsidRDefault="00F33B6F" w:rsidP="00ED18D4">
      <w:pPr>
        <w:pStyle w:val="ListParagraph"/>
        <w:numPr>
          <w:ilvl w:val="0"/>
          <w:numId w:val="137"/>
        </w:numPr>
        <w:rPr>
          <w:noProof w:val="0"/>
        </w:rPr>
      </w:pPr>
      <w:r w:rsidRPr="00721C2C">
        <w:rPr>
          <w:noProof w:val="0"/>
        </w:rPr>
        <w:t xml:space="preserve">activitățile necesare de gestionare a pădurilor, menite să asigure operațiunile de rărire înainte de comercializare sau cele desfășurate în conformitate cu dreptul intern privind prevenirea incendiilor de pădure în zonele cu grad de risc ridicat; </w:t>
      </w:r>
    </w:p>
    <w:p w14:paraId="5AB5D3FB" w14:textId="3E533F23" w:rsidR="00F33B6F" w:rsidRPr="00721C2C" w:rsidRDefault="00F33B6F" w:rsidP="00ED18D4">
      <w:pPr>
        <w:pStyle w:val="ListParagraph"/>
        <w:numPr>
          <w:ilvl w:val="0"/>
          <w:numId w:val="137"/>
        </w:numPr>
        <w:rPr>
          <w:noProof w:val="0"/>
        </w:rPr>
      </w:pPr>
      <w:r w:rsidRPr="00721C2C">
        <w:rPr>
          <w:noProof w:val="0"/>
        </w:rPr>
        <w:t>activități de exploatare forestieră de recuperare derulate în urma unor perturbări naturale documentate; sau</w:t>
      </w:r>
    </w:p>
    <w:p w14:paraId="7D5576B9" w14:textId="28A56A78" w:rsidR="00CD6688" w:rsidRPr="00721C2C" w:rsidRDefault="00CD6688" w:rsidP="00ED18D4">
      <w:pPr>
        <w:pStyle w:val="ListParagraph"/>
        <w:numPr>
          <w:ilvl w:val="0"/>
          <w:numId w:val="137"/>
        </w:numPr>
        <w:rPr>
          <w:noProof w:val="0"/>
        </w:rPr>
      </w:pPr>
      <w:r w:rsidRPr="00721C2C">
        <w:rPr>
          <w:noProof w:val="0"/>
        </w:rPr>
        <w:t xml:space="preserve">activități de exploatare forestieră de recuperare derulate în urma unor perturbări naturale documentate; sau </w:t>
      </w:r>
    </w:p>
    <w:p w14:paraId="75B8612D" w14:textId="6CF23C75" w:rsidR="00CD6688" w:rsidRPr="00721C2C" w:rsidRDefault="00CD6688" w:rsidP="00ED18D4">
      <w:pPr>
        <w:pStyle w:val="ListParagraph"/>
        <w:numPr>
          <w:ilvl w:val="0"/>
          <w:numId w:val="137"/>
        </w:numPr>
        <w:rPr>
          <w:noProof w:val="0"/>
        </w:rPr>
      </w:pPr>
      <w:r w:rsidRPr="00721C2C">
        <w:rPr>
          <w:noProof w:val="0"/>
        </w:rPr>
        <w:t>activități de recoltare a anumitor produse lemnoase ale căror caracteristici nu sunt adecvate pentru instalații de prelucrare locale.</w:t>
      </w:r>
    </w:p>
    <w:p w14:paraId="4C608522" w14:textId="4A9EA9AF" w:rsidR="009A3EA3" w:rsidRPr="00721C2C" w:rsidRDefault="009A3EA3" w:rsidP="00ED18D4">
      <w:pPr>
        <w:pStyle w:val="Heading5"/>
      </w:pPr>
      <w:r w:rsidRPr="00721C2C">
        <w:t>- La art. 3 alin. (2) se modifică și va avea următorul cuprins:</w:t>
      </w:r>
    </w:p>
    <w:p w14:paraId="3E5A70A7" w14:textId="70EE84AE" w:rsidR="002C5426" w:rsidRPr="00721C2C" w:rsidRDefault="002C5426" w:rsidP="00ED18D4">
      <w:pPr>
        <w:ind w:hanging="58"/>
        <w:rPr>
          <w:noProof w:val="0"/>
        </w:rPr>
      </w:pPr>
      <w:r w:rsidRPr="00721C2C">
        <w:rPr>
          <w:noProof w:val="0"/>
        </w:rPr>
        <w:t xml:space="preserve">(2) </w:t>
      </w:r>
      <w:r w:rsidR="00835651" w:rsidRPr="00721C2C">
        <w:rPr>
          <w:noProof w:val="0"/>
        </w:rPr>
        <w:t>MMAP împreună cu</w:t>
      </w:r>
      <w:r w:rsidRPr="00721C2C">
        <w:rPr>
          <w:noProof w:val="0"/>
        </w:rPr>
        <w:t xml:space="preserve"> </w:t>
      </w:r>
      <w:r w:rsidR="00835651" w:rsidRPr="00721C2C">
        <w:rPr>
          <w:noProof w:val="0"/>
        </w:rPr>
        <w:t>MADR</w:t>
      </w:r>
      <w:r w:rsidRPr="00721C2C">
        <w:rPr>
          <w:noProof w:val="0"/>
        </w:rPr>
        <w:t xml:space="preserve">: </w:t>
      </w:r>
    </w:p>
    <w:p w14:paraId="2EA09647" w14:textId="58D515A4" w:rsidR="002C5426" w:rsidRPr="00721C2C" w:rsidRDefault="002C5426" w:rsidP="00ED18D4">
      <w:pPr>
        <w:pStyle w:val="ListParagraph"/>
        <w:numPr>
          <w:ilvl w:val="0"/>
          <w:numId w:val="140"/>
        </w:numPr>
        <w:rPr>
          <w:noProof w:val="0"/>
        </w:rPr>
      </w:pPr>
      <w:r w:rsidRPr="00721C2C">
        <w:rPr>
          <w:noProof w:val="0"/>
        </w:rPr>
        <w:t>iau măsuri pentru a reduce la minimum distorsiunile nedorite pe piața materiilor prime de biomasă și impactul negativ asupra biodiversității, a mediului și a climei, atunci cînd biomasa este utilizată pentru producerea de energie.</w:t>
      </w:r>
    </w:p>
    <w:p w14:paraId="1361CC88" w14:textId="594A673A" w:rsidR="002C5426" w:rsidRPr="00721C2C" w:rsidRDefault="002C5426" w:rsidP="00ED18D4">
      <w:pPr>
        <w:pStyle w:val="ListParagraph"/>
        <w:numPr>
          <w:ilvl w:val="0"/>
          <w:numId w:val="140"/>
        </w:numPr>
        <w:rPr>
          <w:noProof w:val="0"/>
        </w:rPr>
      </w:pPr>
      <w:r w:rsidRPr="00721C2C">
        <w:rPr>
          <w:noProof w:val="0"/>
        </w:rPr>
        <w:t>ȋn aplicarea prevederilor de la lit. a), țin seama de ierarhia deșeurilor și asigură aplicarea principiului utilizării în cascadă a biomasei, punând accentul pe schemele de sprijin și ținând seama în mod corespunzător de particularitățile naționale.</w:t>
      </w:r>
    </w:p>
    <w:p w14:paraId="5BADEA6E" w14:textId="77777777" w:rsidR="00835651" w:rsidRPr="00721C2C" w:rsidRDefault="00835651" w:rsidP="00ED18D4">
      <w:pPr>
        <w:pStyle w:val="ListParagraph"/>
        <w:ind w:left="778" w:firstLine="0"/>
        <w:rPr>
          <w:noProof w:val="0"/>
        </w:rPr>
      </w:pPr>
    </w:p>
    <w:p w14:paraId="1E8BCE0B" w14:textId="0A1E0428" w:rsidR="00835651" w:rsidRPr="00721C2C" w:rsidRDefault="004A3939" w:rsidP="00ED18D4">
      <w:pPr>
        <w:pStyle w:val="Heading5"/>
      </w:pPr>
      <w:r w:rsidRPr="00721C2C">
        <w:t xml:space="preserve">- </w:t>
      </w:r>
      <w:r w:rsidR="00835651" w:rsidRPr="00721C2C">
        <w:t xml:space="preserve">La art. 3 după alin. (2) se introduc patru noi </w:t>
      </w:r>
      <w:r w:rsidR="00155F44" w:rsidRPr="00721C2C">
        <w:t xml:space="preserve">alin. </w:t>
      </w:r>
      <w:r w:rsidR="00835651" w:rsidRPr="00721C2C">
        <w:t xml:space="preserve">(2^1) – ( 2^4) </w:t>
      </w:r>
      <w:r w:rsidR="00155F44" w:rsidRPr="00721C2C">
        <w:t xml:space="preserve">cu </w:t>
      </w:r>
      <w:r w:rsidR="00835651" w:rsidRPr="00721C2C">
        <w:t>următorul cuprins:</w:t>
      </w:r>
    </w:p>
    <w:p w14:paraId="5D83CFC3" w14:textId="77777777" w:rsidR="00155F44" w:rsidRPr="00721C2C" w:rsidRDefault="00155F44" w:rsidP="00ED18D4">
      <w:pPr>
        <w:ind w:left="360" w:firstLine="0"/>
        <w:rPr>
          <w:noProof w:val="0"/>
        </w:rPr>
      </w:pPr>
      <w:r w:rsidRPr="00721C2C">
        <w:rPr>
          <w:noProof w:val="0"/>
        </w:rPr>
        <w:t>(2^1) Schemele de sprijin elaborate pentru energia obținută din biocombustibili, biolichide și combustibili din biomasă trebuie să evite promovarea unor practici nesustenabile și să nu determine denaturarea concurenței cu sectoarele materialelor, pentru a se garanta că biomasa lemnoasă este utilizată în corelare cu valoarea sa adăugată economică și de mediu maximală, în următoarea ordine a priorităților:</w:t>
      </w:r>
    </w:p>
    <w:p w14:paraId="24C64C20" w14:textId="6FF3743A" w:rsidR="00155F44" w:rsidRPr="00721C2C" w:rsidRDefault="00155F44" w:rsidP="00ED18D4">
      <w:pPr>
        <w:pStyle w:val="ListParagraph"/>
        <w:numPr>
          <w:ilvl w:val="0"/>
          <w:numId w:val="143"/>
        </w:numPr>
        <w:rPr>
          <w:noProof w:val="0"/>
        </w:rPr>
      </w:pPr>
      <w:r w:rsidRPr="00721C2C">
        <w:rPr>
          <w:noProof w:val="0"/>
        </w:rPr>
        <w:t>produsele lemnoase;</w:t>
      </w:r>
    </w:p>
    <w:p w14:paraId="66632AC2" w14:textId="5265AF90" w:rsidR="00155F44" w:rsidRPr="00721C2C" w:rsidRDefault="00155F44" w:rsidP="00ED18D4">
      <w:pPr>
        <w:pStyle w:val="ListParagraph"/>
        <w:numPr>
          <w:ilvl w:val="0"/>
          <w:numId w:val="143"/>
        </w:numPr>
        <w:rPr>
          <w:noProof w:val="0"/>
        </w:rPr>
      </w:pPr>
      <w:r w:rsidRPr="00721C2C">
        <w:rPr>
          <w:noProof w:val="0"/>
        </w:rPr>
        <w:t>prelungirea duratei de viață a produselor lemnoase;</w:t>
      </w:r>
    </w:p>
    <w:p w14:paraId="056C4B18" w14:textId="2310EB89" w:rsidR="00155F44" w:rsidRPr="00721C2C" w:rsidRDefault="00155F44" w:rsidP="00ED18D4">
      <w:pPr>
        <w:pStyle w:val="ListParagraph"/>
        <w:numPr>
          <w:ilvl w:val="0"/>
          <w:numId w:val="143"/>
        </w:numPr>
        <w:rPr>
          <w:noProof w:val="0"/>
        </w:rPr>
      </w:pPr>
      <w:r w:rsidRPr="00721C2C">
        <w:rPr>
          <w:noProof w:val="0"/>
        </w:rPr>
        <w:t>reutilizarea;</w:t>
      </w:r>
    </w:p>
    <w:p w14:paraId="26897970" w14:textId="7508C75E" w:rsidR="00155F44" w:rsidRPr="00721C2C" w:rsidRDefault="00155F44" w:rsidP="00ED18D4">
      <w:pPr>
        <w:pStyle w:val="ListParagraph"/>
        <w:numPr>
          <w:ilvl w:val="0"/>
          <w:numId w:val="143"/>
        </w:numPr>
        <w:rPr>
          <w:noProof w:val="0"/>
        </w:rPr>
      </w:pPr>
      <w:r w:rsidRPr="00721C2C">
        <w:rPr>
          <w:noProof w:val="0"/>
        </w:rPr>
        <w:t>reciclarea;</w:t>
      </w:r>
    </w:p>
    <w:p w14:paraId="0768DFD6" w14:textId="31A3983C" w:rsidR="00890EB7" w:rsidRPr="00721C2C" w:rsidRDefault="00155F44" w:rsidP="00ED18D4">
      <w:pPr>
        <w:pStyle w:val="ListParagraph"/>
        <w:numPr>
          <w:ilvl w:val="0"/>
          <w:numId w:val="143"/>
        </w:numPr>
        <w:rPr>
          <w:noProof w:val="0"/>
        </w:rPr>
      </w:pPr>
      <w:r w:rsidRPr="00721C2C">
        <w:rPr>
          <w:noProof w:val="0"/>
        </w:rPr>
        <w:t xml:space="preserve">bioenergia; și </w:t>
      </w:r>
    </w:p>
    <w:p w14:paraId="60B4B90B" w14:textId="27E68645" w:rsidR="00155F44" w:rsidRPr="00721C2C" w:rsidRDefault="00155F44" w:rsidP="00ED18D4">
      <w:pPr>
        <w:pStyle w:val="ListParagraph"/>
        <w:numPr>
          <w:ilvl w:val="0"/>
          <w:numId w:val="143"/>
        </w:numPr>
        <w:rPr>
          <w:noProof w:val="0"/>
        </w:rPr>
      </w:pPr>
      <w:r w:rsidRPr="00721C2C">
        <w:rPr>
          <w:noProof w:val="0"/>
        </w:rPr>
        <w:t>eliminarea.</w:t>
      </w:r>
    </w:p>
    <w:p w14:paraId="102BC387" w14:textId="77CD8D30" w:rsidR="00155F44" w:rsidRPr="00721C2C" w:rsidRDefault="00155F44" w:rsidP="00ED18D4">
      <w:pPr>
        <w:ind w:left="360" w:firstLine="0"/>
        <w:rPr>
          <w:noProof w:val="0"/>
        </w:rPr>
      </w:pPr>
      <w:r w:rsidRPr="00721C2C">
        <w:rPr>
          <w:noProof w:val="0"/>
        </w:rPr>
        <w:t xml:space="preserve">(2^2) Cel mult o dată pe an, </w:t>
      </w:r>
      <w:r w:rsidR="00956B73" w:rsidRPr="00721C2C">
        <w:rPr>
          <w:noProof w:val="0"/>
        </w:rPr>
        <w:t xml:space="preserve">MMAP </w:t>
      </w:r>
      <w:r w:rsidRPr="00721C2C">
        <w:rPr>
          <w:noProof w:val="0"/>
        </w:rPr>
        <w:t xml:space="preserve">prezintă  Comisiei o sinteză a derogărilor de la principiul utilizării în cascadă a biomasei în temeiul </w:t>
      </w:r>
      <w:r w:rsidR="00E1147C" w:rsidRPr="00721C2C">
        <w:rPr>
          <w:noProof w:val="0"/>
        </w:rPr>
        <w:t>alin.</w:t>
      </w:r>
      <w:r w:rsidRPr="00721C2C">
        <w:rPr>
          <w:noProof w:val="0"/>
        </w:rPr>
        <w:t xml:space="preserve"> (1^2), însoțită de motivele acestor derogări și de scara geografică căreia i se aplică acestea. </w:t>
      </w:r>
    </w:p>
    <w:p w14:paraId="79F8C511" w14:textId="77777777" w:rsidR="00155F44" w:rsidRPr="00721C2C" w:rsidRDefault="00155F44" w:rsidP="00ED18D4">
      <w:pPr>
        <w:ind w:left="360" w:firstLine="0"/>
        <w:rPr>
          <w:noProof w:val="0"/>
        </w:rPr>
      </w:pPr>
      <w:r w:rsidRPr="00721C2C">
        <w:rPr>
          <w:noProof w:val="0"/>
        </w:rPr>
        <w:t xml:space="preserve">(2^3) Nu se acordă, prin oricare autoritate competentă, sprijin financiar direct pentru: </w:t>
      </w:r>
    </w:p>
    <w:p w14:paraId="57AD11C3" w14:textId="0CB66C53" w:rsidR="00155F44" w:rsidRPr="00721C2C" w:rsidRDefault="00155F44" w:rsidP="00ED18D4">
      <w:pPr>
        <w:pStyle w:val="ListParagraph"/>
        <w:numPr>
          <w:ilvl w:val="0"/>
          <w:numId w:val="145"/>
        </w:numPr>
        <w:rPr>
          <w:noProof w:val="0"/>
        </w:rPr>
      </w:pPr>
      <w:r w:rsidRPr="00721C2C">
        <w:rPr>
          <w:noProof w:val="0"/>
        </w:rPr>
        <w:t>utilizarea buștenilor de gater, a buștenilor de furnir, a lemnului rotund industrial, a buturugilor și a rădăcinilor pentru producerea de energie;</w:t>
      </w:r>
    </w:p>
    <w:p w14:paraId="4993B29C" w14:textId="5EA8280F" w:rsidR="00835651" w:rsidRPr="00721C2C" w:rsidRDefault="00155F44" w:rsidP="00ED18D4">
      <w:pPr>
        <w:pStyle w:val="ListParagraph"/>
        <w:numPr>
          <w:ilvl w:val="0"/>
          <w:numId w:val="145"/>
        </w:numPr>
        <w:rPr>
          <w:noProof w:val="0"/>
        </w:rPr>
      </w:pPr>
      <w:r w:rsidRPr="00721C2C">
        <w:rPr>
          <w:noProof w:val="0"/>
        </w:rPr>
        <w:t>producția de energie regenerabilă prin incinerarea deșeurilor dacă nu au fost respectate obligațiile privind colectarea separată.</w:t>
      </w:r>
    </w:p>
    <w:p w14:paraId="5BDE2DD8" w14:textId="77777777" w:rsidR="002C29F5" w:rsidRPr="00721C2C" w:rsidRDefault="002C29F5" w:rsidP="00ED18D4">
      <w:pPr>
        <w:ind w:left="360" w:firstLine="0"/>
        <w:rPr>
          <w:noProof w:val="0"/>
        </w:rPr>
      </w:pPr>
      <w:r w:rsidRPr="00721C2C">
        <w:rPr>
          <w:noProof w:val="0"/>
        </w:rPr>
        <w:lastRenderedPageBreak/>
        <w:t xml:space="preserve">(2^4) Fără a aduce atingere alin. (2) și (2^1), autoritățile competente nu acordă niciun sprijin nou și nu reînnoiește sprijinul pentru producția de energie electrică din biomasă forestieră în instalațiile care generează exclusiv energie electrică, cu excepția cazului în care energia electrică de acest tip îndeplinește cel puțin una dintre următoarele condiții: </w:t>
      </w:r>
    </w:p>
    <w:p w14:paraId="7591A7C9" w14:textId="13ED6CAF" w:rsidR="002C29F5" w:rsidRPr="00721C2C" w:rsidRDefault="002C29F5" w:rsidP="00ED18D4">
      <w:pPr>
        <w:pStyle w:val="ListParagraph"/>
        <w:numPr>
          <w:ilvl w:val="0"/>
          <w:numId w:val="147"/>
        </w:numPr>
        <w:rPr>
          <w:noProof w:val="0"/>
        </w:rPr>
      </w:pPr>
      <w:r w:rsidRPr="00721C2C">
        <w:rPr>
          <w:noProof w:val="0"/>
        </w:rPr>
        <w:t xml:space="preserve">este produsă într-o regiune identificată într-un plan teritorial pentru o tranziție justă stabilit în conformitate cu </w:t>
      </w:r>
      <w:r w:rsidR="009C1C01" w:rsidRPr="00721C2C">
        <w:rPr>
          <w:noProof w:val="0"/>
        </w:rPr>
        <w:t>art.</w:t>
      </w:r>
      <w:r w:rsidRPr="00721C2C">
        <w:rPr>
          <w:noProof w:val="0"/>
        </w:rPr>
        <w:t xml:space="preserve"> 11 din Regulamentul (UE) 2021/1056 al Parlamentului European și al Consiliului, în considerarea dependenței acesteia de combustibilii fosili solizi, și îndeplinește cerințele relevante prevăzute la </w:t>
      </w:r>
      <w:r w:rsidR="00844BE7" w:rsidRPr="00721C2C">
        <w:rPr>
          <w:noProof w:val="0"/>
        </w:rPr>
        <w:t>art.</w:t>
      </w:r>
      <w:r w:rsidRPr="00721C2C">
        <w:rPr>
          <w:noProof w:val="0"/>
        </w:rPr>
        <w:t xml:space="preserve"> 29 </w:t>
      </w:r>
      <w:r w:rsidR="00844BE7" w:rsidRPr="00721C2C">
        <w:rPr>
          <w:noProof w:val="0"/>
        </w:rPr>
        <w:t>alin.</w:t>
      </w:r>
      <w:r w:rsidRPr="00721C2C">
        <w:rPr>
          <w:noProof w:val="0"/>
        </w:rPr>
        <w:t xml:space="preserve"> (16); </w:t>
      </w:r>
    </w:p>
    <w:p w14:paraId="6FDEAE92" w14:textId="6A19F2F6" w:rsidR="002C29F5" w:rsidRPr="00721C2C" w:rsidRDefault="002C29F5" w:rsidP="00ED18D4">
      <w:pPr>
        <w:pStyle w:val="ListParagraph"/>
        <w:numPr>
          <w:ilvl w:val="0"/>
          <w:numId w:val="147"/>
        </w:numPr>
        <w:rPr>
          <w:noProof w:val="0"/>
        </w:rPr>
      </w:pPr>
      <w:r w:rsidRPr="00721C2C">
        <w:rPr>
          <w:noProof w:val="0"/>
        </w:rPr>
        <w:t>este produsă aplicând  captarea și stocarea CO</w:t>
      </w:r>
      <w:r w:rsidRPr="00721C2C">
        <w:rPr>
          <w:noProof w:val="0"/>
          <w:vertAlign w:val="subscript"/>
        </w:rPr>
        <w:t>2</w:t>
      </w:r>
      <w:r w:rsidRPr="00721C2C">
        <w:rPr>
          <w:noProof w:val="0"/>
        </w:rPr>
        <w:t xml:space="preserve"> provenit din biomasă și îndeplinește cerințele prevăzute la </w:t>
      </w:r>
      <w:r w:rsidR="00844BE7" w:rsidRPr="00721C2C">
        <w:rPr>
          <w:noProof w:val="0"/>
        </w:rPr>
        <w:t>art.</w:t>
      </w:r>
      <w:r w:rsidRPr="00721C2C">
        <w:rPr>
          <w:noProof w:val="0"/>
        </w:rPr>
        <w:t xml:space="preserve"> 29 </w:t>
      </w:r>
      <w:r w:rsidR="00844BE7" w:rsidRPr="00721C2C">
        <w:rPr>
          <w:noProof w:val="0"/>
        </w:rPr>
        <w:t xml:space="preserve">alin. </w:t>
      </w:r>
      <w:r w:rsidRPr="00721C2C">
        <w:rPr>
          <w:noProof w:val="0"/>
        </w:rPr>
        <w:t>(16);</w:t>
      </w:r>
    </w:p>
    <w:p w14:paraId="4CDC0E40" w14:textId="0F2F847F" w:rsidR="002C29F5" w:rsidRPr="00721C2C" w:rsidRDefault="002C29F5" w:rsidP="00ED18D4">
      <w:pPr>
        <w:pStyle w:val="ListParagraph"/>
        <w:numPr>
          <w:ilvl w:val="0"/>
          <w:numId w:val="147"/>
        </w:numPr>
        <w:rPr>
          <w:noProof w:val="0"/>
        </w:rPr>
      </w:pPr>
      <w:r w:rsidRPr="00721C2C">
        <w:rPr>
          <w:noProof w:val="0"/>
        </w:rPr>
        <w:t xml:space="preserve">este produsă într-o regiune ultraperiferică astfel cum este menționată la articolul 349 din TFUE, pentru o perioadă limitată de timp și cu obiectivul de a reduce, în cea mai mare măsură posibilă, utilizarea biomasei forestiere, fără a afecta accesul la energie sigură și securizată. </w:t>
      </w:r>
    </w:p>
    <w:p w14:paraId="19A5F781" w14:textId="0FCABDB2" w:rsidR="002C29F5" w:rsidRPr="00721C2C" w:rsidRDefault="002C29F5" w:rsidP="00ED18D4">
      <w:pPr>
        <w:ind w:left="360" w:firstLine="0"/>
        <w:rPr>
          <w:noProof w:val="0"/>
        </w:rPr>
      </w:pPr>
      <w:r w:rsidRPr="00721C2C">
        <w:rPr>
          <w:noProof w:val="0"/>
        </w:rPr>
        <w:t>(2^5)  În funcție de evaluarea inclusă în PNIESC cu privire la necesitatea de a construi o nouă infrastructură pentru încălzirea și răcirea centralizată din surse regenerabile în vederea realizării obiectivului general al Uniunii stabilit la art. 3 alin. (1) din OUG nr. 163/2022, ministerul de resort și MDLPA, în colaborare cu MMAP cu consultarea organizațiilor neguvernamentale reprezentative în domeniu, adoptă, după caz, măsurile necesare în vederea dezvoltării unei infrastructuri eficiente de încălzire și răcire centralizată pentru a promova încălzirea și răcirea din surse regenerabile, precum energia termică solară, energia fotovoltaică solară, pompele de căldură acționate de energie electrică din surse regenerabile care utilizează energia ambientală și energia geotermală, alte tehnologii de energie geotermală, biomasa, biogazul, biolichidele și căldura și răcoarea reziduală, unde este posibil în combinație cu stocarea energiei termice, sistemele de răspuns la variațiile cererii și instalații care transformă energia electrică în căldură prin Strategia națională privind serviciul public de alimentare cu energie termică în sistem centralizat în conformitate cu Legea nr. 325/2006</w:t>
      </w:r>
      <w:r w:rsidR="00607A12" w:rsidRPr="00721C2C">
        <w:rPr>
          <w:noProof w:val="0"/>
        </w:rPr>
        <w:t>, cu modificările și completările ulterioare</w:t>
      </w:r>
      <w:r w:rsidRPr="00721C2C">
        <w:rPr>
          <w:noProof w:val="0"/>
        </w:rPr>
        <w:t>.</w:t>
      </w:r>
    </w:p>
    <w:p w14:paraId="70FE5B19" w14:textId="77777777" w:rsidR="00D655C9" w:rsidRPr="00721C2C" w:rsidRDefault="00D655C9" w:rsidP="00ED18D4">
      <w:pPr>
        <w:pStyle w:val="Heading5"/>
      </w:pPr>
      <w:r w:rsidRPr="00721C2C">
        <w:t>- La art. 4 după alin. (11) se introduc patru noi alineate, alin. (12) - (15) cu următorul cuprins:</w:t>
      </w:r>
    </w:p>
    <w:p w14:paraId="10B622E5" w14:textId="77777777" w:rsidR="00D655C9" w:rsidRPr="00721C2C" w:rsidRDefault="00D655C9" w:rsidP="00ED18D4">
      <w:pPr>
        <w:ind w:left="360" w:firstLine="0"/>
        <w:rPr>
          <w:noProof w:val="0"/>
        </w:rPr>
      </w:pPr>
      <w:r w:rsidRPr="00721C2C">
        <w:rPr>
          <w:noProof w:val="0"/>
        </w:rPr>
        <w:t xml:space="preserve">(12) Ministerul de resort stabilește un cadru, care poate include scheme de sprijin și măsuri de facilitare a contractelor de achiziție de energie electrică din surse regenerabile, care să permită implementarea energiei electrice din surse regenerabile la un nivel care să fie în concordanță cu contribuția la nivel național și într-un ritm corelat cu traiectoriile orientative menționate la art. 4 lit. (a) pct. 2 din Regulamentul (UE) 2018/1999. </w:t>
      </w:r>
    </w:p>
    <w:p w14:paraId="36656257" w14:textId="77777777" w:rsidR="00D655C9" w:rsidRPr="00721C2C" w:rsidRDefault="00D655C9" w:rsidP="00ED18D4">
      <w:pPr>
        <w:ind w:left="360" w:firstLine="0"/>
        <w:rPr>
          <w:noProof w:val="0"/>
        </w:rPr>
      </w:pPr>
      <w:r w:rsidRPr="00721C2C">
        <w:rPr>
          <w:noProof w:val="0"/>
        </w:rPr>
        <w:t xml:space="preserve">(13) Ȋn aplicarea prevederilor alin. (12) ministerul de resort, ȋn colaborare cu ANRE și MTI abordează barierele rămase în calea unui nivel ridicat de aprovizionare cu energie din surse regenerabile, inclusiv pe cele legate de procedurile de acordare a autorizaților și dezvoltarea infrastructurii de transport, de distribuție și de stocare necesare, inclusiv stocarea energiei în același amplasament. </w:t>
      </w:r>
    </w:p>
    <w:p w14:paraId="6A7A7174" w14:textId="77777777" w:rsidR="00D655C9" w:rsidRPr="00721C2C" w:rsidRDefault="00D655C9" w:rsidP="00ED18D4">
      <w:pPr>
        <w:ind w:left="360" w:firstLine="0"/>
        <w:rPr>
          <w:noProof w:val="0"/>
        </w:rPr>
      </w:pPr>
      <w:r w:rsidRPr="00721C2C">
        <w:rPr>
          <w:noProof w:val="0"/>
        </w:rPr>
        <w:t xml:space="preserve">(14) În vederea elaborării cadrului prevăzut la alin. (12), MTI, MDLPA, ANRE colaborează cu ministerul de resort și țin cont de cantitatea suplimentară de energie electrică din surse regenerabile necesară pentru a răspunde cererii în sectorul transporturilor, al industriei, al </w:t>
      </w:r>
      <w:r w:rsidRPr="00721C2C">
        <w:rPr>
          <w:noProof w:val="0"/>
        </w:rPr>
        <w:lastRenderedPageBreak/>
        <w:t xml:space="preserve">încălzirii și răcirii clădirilor, precum și pentru producția de combustibili din surse regenerabile de origine nebiologică. </w:t>
      </w:r>
    </w:p>
    <w:p w14:paraId="502534FD" w14:textId="765F64C6" w:rsidR="00D655C9" w:rsidRPr="00721C2C" w:rsidRDefault="00D655C9" w:rsidP="00ED18D4">
      <w:pPr>
        <w:ind w:left="360" w:firstLine="0"/>
        <w:rPr>
          <w:noProof w:val="0"/>
        </w:rPr>
      </w:pPr>
      <w:r w:rsidRPr="00721C2C">
        <w:rPr>
          <w:noProof w:val="0"/>
        </w:rPr>
        <w:t>(15) În curpinsul PNIESC și în rapoartele naționale intermediare integrate privind energia și clima autoritățile prevăzute la art. 4, din OUG nr. 62/2023 privind stabilirea cadrului instituțional și a unor măsuri pentru punerea în aplicare a Regulamentului (UE) 2018/1.999 al Parlamentului European și al Consiliului privind guvernanța uniunii energetice și a acțiunilor climatice, de modificare a Regulamentelor (CE) nr. 663/2009 și (CE) nr. 715/2009 ale Parlamentului European și ale Consiliului, a Directivelor 94/22/CE, 98/70/CE, 2009/31/CE, 2009/73/CE, 2010/31/UE, 2012/27/UE și 2013/30/UE ale Parlamentului European și ale Consiliului, a Directivelor 2009/119/CE și (UE) 2015/652 ale Consiliului și de abrogare a Regulamentului (UE) nr. 525/2013 al Parlamentului European și al Consiliului, precum și a Regulamentului (UE) 2022/2.299 al Comisiei din 15 noiembrie 2022 de stabilire a normelor de punere în aplicare în ceea ce privește structura, formatul, detaliile tehnice și procedurile pentru rapoartele naționale intermediare integrate privind energia și clima, pot include un rezumat al politicilor și măsurilor adoptate în temeiul cadrului ărevăzit la alin. (12) și, respectiv, o evaluare a punerii lor în aplicare.</w:t>
      </w:r>
    </w:p>
    <w:p w14:paraId="608B6333" w14:textId="77777777" w:rsidR="008637E4" w:rsidRPr="00721C2C" w:rsidRDefault="008637E4" w:rsidP="00ED18D4">
      <w:pPr>
        <w:pStyle w:val="Heading5"/>
      </w:pPr>
      <w:r w:rsidRPr="00721C2C">
        <w:t>- La art. 7 alin. (2) se modifică și va avea următorul cuprins:</w:t>
      </w:r>
    </w:p>
    <w:p w14:paraId="3296B5D0" w14:textId="77A75322" w:rsidR="008637E4" w:rsidRPr="00721C2C" w:rsidRDefault="008637E4" w:rsidP="00ED18D4">
      <w:pPr>
        <w:ind w:left="360" w:firstLine="0"/>
        <w:rPr>
          <w:noProof w:val="0"/>
        </w:rPr>
      </w:pPr>
      <w:r w:rsidRPr="00721C2C">
        <w:rPr>
          <w:noProof w:val="0"/>
        </w:rPr>
        <w:t>(2) În ceea ce privește alin. (1) lit. a), b) sau c), gazul și energia electrică din surse regenerabile se iau în considerare numai o dată la calcularea ponderii consumului final brut de energie din surse regenerabile.</w:t>
      </w:r>
    </w:p>
    <w:p w14:paraId="5AC9ADD3" w14:textId="671679AF" w:rsidR="008637E4" w:rsidRPr="00721C2C" w:rsidRDefault="008637E4" w:rsidP="00ED18D4">
      <w:pPr>
        <w:pStyle w:val="Heading5"/>
      </w:pPr>
      <w:r w:rsidRPr="00721C2C">
        <w:t>- La art. 7 după alin. (2) se introduc patru noi alin. (2^1) – (2^4) cu următorul cuprins:</w:t>
      </w:r>
    </w:p>
    <w:p w14:paraId="5177BFCB" w14:textId="77777777" w:rsidR="008637E4" w:rsidRPr="00721C2C" w:rsidRDefault="008637E4" w:rsidP="00ED18D4">
      <w:pPr>
        <w:ind w:left="360" w:firstLine="0"/>
        <w:rPr>
          <w:noProof w:val="0"/>
        </w:rPr>
      </w:pPr>
      <w:r w:rsidRPr="00721C2C">
        <w:rPr>
          <w:noProof w:val="0"/>
        </w:rPr>
        <w:t xml:space="preserve">(2^1) Energia produsă din combustibili din surse regenerabile de origine nebiologică se contabilizează în sectorul în care este consumată: al energiei electrice, al încălzirii și răcirii sau al transporturilor. </w:t>
      </w:r>
    </w:p>
    <w:p w14:paraId="7A05A5BC" w14:textId="77777777" w:rsidR="008637E4" w:rsidRPr="00721C2C" w:rsidRDefault="008637E4" w:rsidP="00ED18D4">
      <w:pPr>
        <w:ind w:left="360" w:firstLine="0"/>
        <w:rPr>
          <w:noProof w:val="0"/>
        </w:rPr>
      </w:pPr>
      <w:r w:rsidRPr="00721C2C">
        <w:rPr>
          <w:noProof w:val="0"/>
        </w:rPr>
        <w:t xml:space="preserve">(2^2) Autoritățile competente pot conveni, prin intermediul unui acord de cooperare specific, să contabilizeze toți sau o parte din combustibilii din surse regenerabile de origine nebiologică consumați într-un stat membru în ponderea consumului final brut de energie din surse regenerabile în statul membru în care sunt produși combustibilii respectivi. </w:t>
      </w:r>
    </w:p>
    <w:p w14:paraId="45B41914" w14:textId="77777777" w:rsidR="008637E4" w:rsidRPr="00721C2C" w:rsidRDefault="008637E4" w:rsidP="00ED18D4">
      <w:pPr>
        <w:ind w:left="360" w:firstLine="0"/>
        <w:rPr>
          <w:noProof w:val="0"/>
        </w:rPr>
      </w:pPr>
      <w:r w:rsidRPr="00721C2C">
        <w:rPr>
          <w:noProof w:val="0"/>
        </w:rPr>
        <w:t xml:space="preserve">(2^3) Pentru a verifica faptul că aceiași combustibili din surse regenerabile de origine nebiologică nu sunt contabilizați atât în statul membru în care sunt produși, cât și în statul membru în care sunt consumați și pentru a înregistra cantitatea contabilizată, ministerul de resort notifică Comisiei orice astfel de acord de cooperare. </w:t>
      </w:r>
    </w:p>
    <w:p w14:paraId="4BFC481F" w14:textId="2932F0CE" w:rsidR="00103A00" w:rsidRPr="00721C2C" w:rsidRDefault="008637E4" w:rsidP="00ED18D4">
      <w:pPr>
        <w:ind w:left="360" w:firstLine="0"/>
        <w:rPr>
          <w:noProof w:val="0"/>
        </w:rPr>
      </w:pPr>
      <w:r w:rsidRPr="00721C2C">
        <w:rPr>
          <w:noProof w:val="0"/>
        </w:rPr>
        <w:t>(2^4) Acordul de cooperare prevăzut la alin. (2^2) va include cantitatea totală de combustibili din surse regenerabile de origine nebiologică care urmează să fie luată în calcul pentru fiecare stat membru și data la care acordul de cooperare va deveni operațional.</w:t>
      </w:r>
    </w:p>
    <w:p w14:paraId="4D64104F" w14:textId="77777777" w:rsidR="008637E4" w:rsidRPr="00721C2C" w:rsidRDefault="008637E4" w:rsidP="00ED18D4">
      <w:pPr>
        <w:pStyle w:val="Heading5"/>
      </w:pPr>
      <w:r w:rsidRPr="00721C2C">
        <w:t>- La art. 7 se modifică alin. (6) lit. a) se modifică și va avea următorul cuprins:</w:t>
      </w:r>
    </w:p>
    <w:p w14:paraId="0F7E4239" w14:textId="463DF4BB" w:rsidR="008637E4" w:rsidRPr="00721C2C" w:rsidRDefault="008637E4" w:rsidP="00ED18D4">
      <w:pPr>
        <w:pStyle w:val="ListParagraph"/>
        <w:numPr>
          <w:ilvl w:val="0"/>
          <w:numId w:val="149"/>
        </w:numPr>
        <w:rPr>
          <w:noProof w:val="0"/>
        </w:rPr>
      </w:pPr>
      <w:r w:rsidRPr="00721C2C">
        <w:rPr>
          <w:noProof w:val="0"/>
        </w:rPr>
        <w:t xml:space="preserve">Consumul final de energie din surse regenerabile în sectorul transporturilor se calculează ca fiind suma tuturor biocombustibililor, biogazului și combustibililor din surse regenerabile de origine nebiologică consumați în sectorul transporturilor. Acesta </w:t>
      </w:r>
      <w:r w:rsidRPr="00721C2C">
        <w:rPr>
          <w:noProof w:val="0"/>
        </w:rPr>
        <w:lastRenderedPageBreak/>
        <w:t xml:space="preserve">include combustibilii din surse regenerabile furnizați buncherajului maritim internațional. </w:t>
      </w:r>
    </w:p>
    <w:p w14:paraId="7E0B77DB" w14:textId="035D4684" w:rsidR="00241C71" w:rsidRPr="00721C2C" w:rsidRDefault="00241C71" w:rsidP="00ED18D4">
      <w:pPr>
        <w:pStyle w:val="Heading5"/>
      </w:pPr>
      <w:r w:rsidRPr="00721C2C">
        <w:t>- La art.7 se modifică alin. (4) și va avea următorul cuprins:</w:t>
      </w:r>
    </w:p>
    <w:p w14:paraId="025190B9" w14:textId="61BB5FB3" w:rsidR="00241C71" w:rsidRPr="00721C2C" w:rsidRDefault="00241C71" w:rsidP="00ED18D4">
      <w:pPr>
        <w:ind w:left="360" w:firstLine="0"/>
        <w:rPr>
          <w:noProof w:val="0"/>
        </w:rPr>
      </w:pPr>
      <w:r w:rsidRPr="00721C2C">
        <w:rPr>
          <w:noProof w:val="0"/>
        </w:rPr>
        <w:t>(4) În sensul alineatului (1) lit. a):</w:t>
      </w:r>
    </w:p>
    <w:p w14:paraId="1901F59C" w14:textId="72B111D0" w:rsidR="00241C71" w:rsidRPr="00721C2C" w:rsidRDefault="00241C71" w:rsidP="00ED18D4">
      <w:pPr>
        <w:ind w:left="360" w:firstLine="0"/>
        <w:rPr>
          <w:noProof w:val="0"/>
        </w:rPr>
      </w:pPr>
      <w:r w:rsidRPr="00721C2C">
        <w:rPr>
          <w:noProof w:val="0"/>
        </w:rPr>
        <w:t xml:space="preserve">a) consumul final brut de energie electrică din surse regenerabile se calculează ca fiind cantitatea de energie electrică produsă din surse regenerabile, incluzând producția de energie electrică de la autoconsumatorii de energie din surse regenerabile și de la comunitățile de energie din surse regenerabile, precum și energia electrică din combustibili din surse regenerabile de origine nebiologică, și excluzând producția de energie electrică în centralele cu acumulare prin pompare din apă pompată anterior în sens ascendent, precum și energia electrică utilizată pentru producerea de combustibili din surse regenerabile de origine nebiologică. </w:t>
      </w:r>
    </w:p>
    <w:p w14:paraId="5B1856C5" w14:textId="6877E74D" w:rsidR="00241C71" w:rsidRPr="00721C2C" w:rsidRDefault="00241C71" w:rsidP="00ED18D4">
      <w:pPr>
        <w:pStyle w:val="Heading5"/>
      </w:pPr>
      <w:r w:rsidRPr="00721C2C">
        <w:t xml:space="preserve">- La art. 9 se introduce după alin. (1) </w:t>
      </w:r>
      <w:r w:rsidR="00A21A95" w:rsidRPr="00721C2C">
        <w:t>patru</w:t>
      </w:r>
      <w:r w:rsidRPr="00721C2C">
        <w:t xml:space="preserve"> noi alineate, alin. (1^1) - (1^4) și vor avea următorul cuprins:</w:t>
      </w:r>
    </w:p>
    <w:p w14:paraId="3B58A8EA" w14:textId="77777777" w:rsidR="00A21A95" w:rsidRPr="00721C2C" w:rsidRDefault="00A21A95" w:rsidP="00ED18D4">
      <w:pPr>
        <w:ind w:left="360" w:firstLine="0"/>
        <w:rPr>
          <w:noProof w:val="0"/>
        </w:rPr>
      </w:pPr>
      <w:r w:rsidRPr="00721C2C">
        <w:rPr>
          <w:noProof w:val="0"/>
        </w:rPr>
        <w:t>(1^1) Până la 31 decembrie 2025, ministerul de resort împreună cu autoritățile competente inițiază cel puțin un cadru de cooperare pentru proiectele comune cu unul sau mai multe alte state membre cu privire la producerea de energie din surse regenerabile, sub rezerva următoarelor:</w:t>
      </w:r>
    </w:p>
    <w:p w14:paraId="5354E09A" w14:textId="06BEBC65" w:rsidR="00A21A95" w:rsidRPr="00721C2C" w:rsidRDefault="00A21A95" w:rsidP="00ED18D4">
      <w:pPr>
        <w:pStyle w:val="ListParagraph"/>
        <w:numPr>
          <w:ilvl w:val="0"/>
          <w:numId w:val="150"/>
        </w:numPr>
        <w:rPr>
          <w:noProof w:val="0"/>
        </w:rPr>
      </w:pPr>
      <w:r w:rsidRPr="00721C2C">
        <w:rPr>
          <w:noProof w:val="0"/>
        </w:rPr>
        <w:t>stabilirea, până la 31 decembrie 2030, a cel puțin două proiecte comune;</w:t>
      </w:r>
    </w:p>
    <w:p w14:paraId="7A394FF4" w14:textId="50EE7BBB" w:rsidR="00A21A95" w:rsidRPr="00721C2C" w:rsidRDefault="00A21A95" w:rsidP="00ED18D4">
      <w:pPr>
        <w:pStyle w:val="ListParagraph"/>
        <w:numPr>
          <w:ilvl w:val="0"/>
          <w:numId w:val="150"/>
        </w:numPr>
        <w:rPr>
          <w:noProof w:val="0"/>
        </w:rPr>
      </w:pPr>
      <w:r w:rsidRPr="00721C2C">
        <w:rPr>
          <w:noProof w:val="0"/>
        </w:rPr>
        <w:t xml:space="preserve">în situația în care consumul anual de energie electrică este de peste 100 TWh,  până la 31 decembrie 2033 se va stabili un al treilea proiect comun. </w:t>
      </w:r>
    </w:p>
    <w:p w14:paraId="03BD45F2" w14:textId="77777777" w:rsidR="00A21A95" w:rsidRPr="00721C2C" w:rsidRDefault="00A21A95" w:rsidP="00ED18D4">
      <w:pPr>
        <w:ind w:left="360" w:firstLine="0"/>
        <w:rPr>
          <w:noProof w:val="0"/>
        </w:rPr>
      </w:pPr>
      <w:r w:rsidRPr="00721C2C">
        <w:rPr>
          <w:noProof w:val="0"/>
        </w:rPr>
        <w:t xml:space="preserve">(1^2) Identificarea proiectelor comune privind energia din surse regenerabile offshore este corelată cu nevoile identificate în planurile strategice la nivel înalt de dezvoltare a rețelei offshore integrate pentru fiecare bazin maritim menționat la art. 14 alin. (2) din Regulamentul (UE) 2022/869 al Parlamentului European și al Consiliului și în planul pe zece ani de dezvoltare a rețelei la nivelul Uniunii menționat la art. 30 alin. (1) lit. (b) din Regulamentul (UE) 2019/943, dar poate depăși aceste nevoi și poate implica autorități locale și întreprinderi private. </w:t>
      </w:r>
    </w:p>
    <w:p w14:paraId="0F310399" w14:textId="77777777" w:rsidR="00A21A95" w:rsidRPr="00721C2C" w:rsidRDefault="00A21A95" w:rsidP="00ED18D4">
      <w:pPr>
        <w:ind w:left="360" w:firstLine="0"/>
        <w:rPr>
          <w:noProof w:val="0"/>
        </w:rPr>
      </w:pPr>
      <w:r w:rsidRPr="00721C2C">
        <w:rPr>
          <w:noProof w:val="0"/>
        </w:rPr>
        <w:t xml:space="preserve">(1^3) În realizarea proiectelor comune, Ministerul de resort: </w:t>
      </w:r>
    </w:p>
    <w:p w14:paraId="6663BE46" w14:textId="77B8F115" w:rsidR="00A21A95" w:rsidRPr="00721C2C" w:rsidRDefault="00A21A95" w:rsidP="00ED18D4">
      <w:pPr>
        <w:pStyle w:val="ListParagraph"/>
        <w:numPr>
          <w:ilvl w:val="0"/>
          <w:numId w:val="152"/>
        </w:numPr>
        <w:rPr>
          <w:noProof w:val="0"/>
        </w:rPr>
      </w:pPr>
      <w:r w:rsidRPr="00721C2C">
        <w:rPr>
          <w:noProof w:val="0"/>
        </w:rPr>
        <w:t>va distribui în mod echitabil costurile și beneficiile acestora;</w:t>
      </w:r>
    </w:p>
    <w:p w14:paraId="1B877E64" w14:textId="09B84D41" w:rsidR="00A21A95" w:rsidRPr="00721C2C" w:rsidRDefault="00A21A95" w:rsidP="00ED18D4">
      <w:pPr>
        <w:pStyle w:val="ListParagraph"/>
        <w:numPr>
          <w:ilvl w:val="0"/>
          <w:numId w:val="152"/>
        </w:numPr>
        <w:rPr>
          <w:noProof w:val="0"/>
        </w:rPr>
      </w:pPr>
      <w:r w:rsidRPr="00721C2C">
        <w:rPr>
          <w:noProof w:val="0"/>
        </w:rPr>
        <w:t>va ține cont în acordurile de cooperare relevante de toate costurile și beneficiile relevante, aferente proiectelor comune.</w:t>
      </w:r>
    </w:p>
    <w:p w14:paraId="5829A291" w14:textId="38087894" w:rsidR="00241C71" w:rsidRPr="00721C2C" w:rsidRDefault="00A21A95" w:rsidP="00ED18D4">
      <w:pPr>
        <w:ind w:left="360" w:firstLine="0"/>
        <w:rPr>
          <w:noProof w:val="0"/>
        </w:rPr>
      </w:pPr>
      <w:r w:rsidRPr="00721C2C">
        <w:rPr>
          <w:noProof w:val="0"/>
        </w:rPr>
        <w:t>(1^4) Ministerul de resort, pe baza datelor furnizate de autoritățile competente, notifică Comisia cu privire la acordurile de cooperare, inclusiv cu privire la data la care se preconizează că proiectele vor deveni operaționale; se consideră că proiectele finanțate prin contribuții naționale în cadrul mecanismului Uniunii de finanțare a energiei din surse regenerabile instituit prin Regulamentul de punere în aplicare (UE) 2020/1294 al Comisiei îndeplinesc obligațiile menționate pentru statele membre implicate.</w:t>
      </w:r>
    </w:p>
    <w:p w14:paraId="4A82D820" w14:textId="30E67CDD" w:rsidR="00A21A95" w:rsidRPr="00721C2C" w:rsidRDefault="00A21A95" w:rsidP="00ED18D4">
      <w:pPr>
        <w:pStyle w:val="Heading5"/>
      </w:pPr>
      <w:r w:rsidRPr="00721C2C">
        <w:t>- După art. 9 se introduce un nou art. 9^1 cu următorul cuprins:</w:t>
      </w:r>
    </w:p>
    <w:p w14:paraId="79645082" w14:textId="77777777" w:rsidR="00A21A95" w:rsidRPr="00721C2C" w:rsidRDefault="00A21A95" w:rsidP="00ED18D4">
      <w:pPr>
        <w:ind w:left="360" w:firstLine="0"/>
        <w:rPr>
          <w:noProof w:val="0"/>
        </w:rPr>
      </w:pPr>
      <w:r w:rsidRPr="00721C2C">
        <w:rPr>
          <w:noProof w:val="0"/>
        </w:rPr>
        <w:t>(1)</w:t>
      </w:r>
      <w:r w:rsidRPr="00721C2C">
        <w:rPr>
          <w:noProof w:val="0"/>
        </w:rPr>
        <w:tab/>
        <w:t xml:space="preserve">Pe baza obiectivelor orientative privind producerea de energie din surse regenerabile offshore care urmează să fie utilizată în bazinul maritim, identificate în conformitate cu art. </w:t>
      </w:r>
      <w:r w:rsidRPr="00721C2C">
        <w:rPr>
          <w:noProof w:val="0"/>
        </w:rPr>
        <w:lastRenderedPageBreak/>
        <w:t>14 din Regulamentul (UE) 2022/869, ministerul de resort publică informații cu privire la volumele de energie din surse regenerabile offshore pe care intenționează să le realizeze prin licitații, ținând seama de fezabilitatea tehnică și economică a infrastructurii rețelei și de activitățile care au deja loc.</w:t>
      </w:r>
    </w:p>
    <w:p w14:paraId="18717A33" w14:textId="77777777" w:rsidR="00A21A95" w:rsidRPr="00721C2C" w:rsidRDefault="00A21A95" w:rsidP="00ED18D4">
      <w:pPr>
        <w:ind w:left="360" w:firstLine="0"/>
        <w:rPr>
          <w:noProof w:val="0"/>
        </w:rPr>
      </w:pPr>
      <w:r w:rsidRPr="00721C2C">
        <w:rPr>
          <w:noProof w:val="0"/>
        </w:rPr>
        <w:t>(2)</w:t>
      </w:r>
      <w:r w:rsidRPr="00721C2C">
        <w:rPr>
          <w:noProof w:val="0"/>
        </w:rPr>
        <w:tab/>
        <w:t xml:space="preserve"> Autoritățile competente depun eforturi pentru a aloca spațiu pentru proiectele privind energia din surse regenerabile offshore în planurile lor de amenajare a spațiului maritim, ținând seama de activitățile care au deja loc în zonele afectate. </w:t>
      </w:r>
    </w:p>
    <w:p w14:paraId="5469AA74" w14:textId="77777777" w:rsidR="00A21A95" w:rsidRPr="00721C2C" w:rsidRDefault="00A21A95" w:rsidP="00ED18D4">
      <w:pPr>
        <w:ind w:left="360" w:firstLine="0"/>
        <w:rPr>
          <w:noProof w:val="0"/>
        </w:rPr>
      </w:pPr>
      <w:r w:rsidRPr="00721C2C">
        <w:rPr>
          <w:noProof w:val="0"/>
        </w:rPr>
        <w:t>(3)</w:t>
      </w:r>
      <w:r w:rsidRPr="00721C2C">
        <w:rPr>
          <w:noProof w:val="0"/>
        </w:rPr>
        <w:tab/>
        <w:t xml:space="preserve">Pentru a facilita acordarea autorizațiilor pentru proiectele comune privind energia din surse regenerabile offshore, autoritățile competente reduc complexitatea și sporește eficiența și transparența procedurii de acordare a autorizației, consolidează cooperarea dintre ele și după caz instituie un punct unic de contact. </w:t>
      </w:r>
    </w:p>
    <w:p w14:paraId="2CA17E9B" w14:textId="10B34002" w:rsidR="00A21A95" w:rsidRPr="00B93B0A" w:rsidRDefault="00A21A95" w:rsidP="00ED18D4">
      <w:pPr>
        <w:ind w:left="360" w:firstLine="0"/>
        <w:rPr>
          <w:noProof w:val="0"/>
        </w:rPr>
      </w:pPr>
      <w:r w:rsidRPr="00721C2C">
        <w:rPr>
          <w:noProof w:val="0"/>
        </w:rPr>
        <w:t>(4)</w:t>
      </w:r>
      <w:r w:rsidRPr="00721C2C">
        <w:rPr>
          <w:noProof w:val="0"/>
        </w:rPr>
        <w:tab/>
        <w:t xml:space="preserve">Pentru a crește gradul de acceptare publică pe scară largă, ministerul de resort poate include comunitățile de energie din surse regenerabile în proiecte comune privind energia </w:t>
      </w:r>
      <w:r w:rsidRPr="00B93B0A">
        <w:rPr>
          <w:noProof w:val="0"/>
        </w:rPr>
        <w:t>din surse regenerabile offshore.</w:t>
      </w:r>
    </w:p>
    <w:p w14:paraId="55F4BFC7" w14:textId="5CDF9FF1" w:rsidR="00145153" w:rsidRPr="00B93B0A" w:rsidRDefault="00145153" w:rsidP="00ED18D4">
      <w:pPr>
        <w:pStyle w:val="Heading5"/>
      </w:pPr>
      <w:r w:rsidRPr="00B93B0A">
        <w:t xml:space="preserve">- </w:t>
      </w:r>
      <w:r w:rsidR="00B60F80" w:rsidRPr="00B93B0A">
        <w:t>La art. 12 se modifică alin. (8) și va avea următorul cuprins</w:t>
      </w:r>
      <w:r w:rsidRPr="00B93B0A">
        <w:t>:</w:t>
      </w:r>
    </w:p>
    <w:p w14:paraId="151F88C4" w14:textId="35838B09" w:rsidR="00B60F80" w:rsidRPr="00B93B0A" w:rsidRDefault="00B60F80" w:rsidP="00ED18D4">
      <w:pPr>
        <w:pStyle w:val="ListParagraph"/>
        <w:numPr>
          <w:ilvl w:val="0"/>
          <w:numId w:val="153"/>
        </w:numPr>
        <w:rPr>
          <w:noProof w:val="0"/>
        </w:rPr>
      </w:pPr>
      <w:r w:rsidRPr="00B93B0A">
        <w:rPr>
          <w:noProof w:val="0"/>
        </w:rPr>
        <w:t>În cazul în care un furnizor introduce pe piaţă biocarburanţi proveniţi din ţări terţe cu care Uniunea Europeană a încheiat acorduri bilaterale sau multilaterale care cuprind dispoziţii privind criteriile de durabilitate ori pentru care Comisia Europeană a decis că sistemele voluntare aplicate în aceste ţări stabilesc standarde de producţie a produselor din biomasă cu respectarea criteriilor de durabilitate, nu se solicită alte dovezi de respectare a criteriilor de durabilitate.</w:t>
      </w:r>
    </w:p>
    <w:p w14:paraId="296E07F1" w14:textId="27C9BCE4" w:rsidR="00145153" w:rsidRPr="00B93B0A" w:rsidRDefault="00B60F80" w:rsidP="00ED18D4">
      <w:pPr>
        <w:pStyle w:val="ListParagraph"/>
        <w:numPr>
          <w:ilvl w:val="0"/>
          <w:numId w:val="153"/>
        </w:numPr>
        <w:rPr>
          <w:noProof w:val="0"/>
        </w:rPr>
      </w:pPr>
      <w:r w:rsidRPr="00B93B0A">
        <w:rPr>
          <w:noProof w:val="0"/>
        </w:rPr>
        <w:t>În cazul în care un operator economic furnizează dovezi sau date obținute în conformitate cu un sistem care a făcut obiectul unei decizii adoptate în temeiul art. 30 alin. (10), Ministerul Energiei nu impune operatorului economic să furnizeze alte dovezi de respectare a elementelor vizate de sistem pentru care sistemul a fost recunoscut de Comisie.</w:t>
      </w:r>
    </w:p>
    <w:p w14:paraId="2A3AC426" w14:textId="199F5F63" w:rsidR="00B60F80" w:rsidRPr="00721C2C" w:rsidRDefault="00B60F80" w:rsidP="00ED18D4">
      <w:pPr>
        <w:pStyle w:val="Heading5"/>
      </w:pPr>
      <w:r w:rsidRPr="00721C2C">
        <w:t>- La art. 15 alin. (1) se modifică și va avea următorul cuprins:</w:t>
      </w:r>
    </w:p>
    <w:p w14:paraId="5452650E" w14:textId="0BFEB579" w:rsidR="008637E4" w:rsidRPr="00721C2C" w:rsidRDefault="00B60F80" w:rsidP="00ED18D4">
      <w:pPr>
        <w:ind w:left="360" w:firstLine="0"/>
        <w:rPr>
          <w:noProof w:val="0"/>
        </w:rPr>
      </w:pPr>
      <w:r w:rsidRPr="00721C2C">
        <w:rPr>
          <w:noProof w:val="0"/>
        </w:rPr>
        <w:t>(1)</w:t>
      </w:r>
      <w:r w:rsidRPr="00721C2C">
        <w:rPr>
          <w:noProof w:val="0"/>
        </w:rPr>
        <w:tab/>
        <w:t>Autoritățile publice cu competențe în procedurile de acordare a autorizațiilor, de certificare și de acordare de licențe care se aplică centralelor și rețelelor conexe de transport și de distribuție pentru producția de energie electrică, încălzire sau răcire din surse regenerabile, procesului de transformare a biomasei în biocombustibili, biolichide, combustibili din biomasă sau în alte produse energetice, precum și combustibililor din surse regenerabile de origine nebiologică se asigură că acestea sunt proporționale și necesare și contribuie la punerea în aplicare a principiului „eficiența energetică înainte de toate”.</w:t>
      </w:r>
    </w:p>
    <w:p w14:paraId="7CF42FAD" w14:textId="48F01900" w:rsidR="00B60F80" w:rsidRPr="00721C2C" w:rsidRDefault="00B60F80" w:rsidP="00ED18D4">
      <w:pPr>
        <w:pStyle w:val="Heading5"/>
      </w:pPr>
      <w:r w:rsidRPr="00721C2C">
        <w:t>- La art. 15 alin. (</w:t>
      </w:r>
      <w:r w:rsidR="002B02D6" w:rsidRPr="00721C2C">
        <w:t>5</w:t>
      </w:r>
      <w:r w:rsidRPr="00721C2C">
        <w:t>) se modifică și va avea următorul cuprins:</w:t>
      </w:r>
    </w:p>
    <w:p w14:paraId="6687DFCF" w14:textId="77777777" w:rsidR="002B02D6" w:rsidRPr="00721C2C" w:rsidRDefault="002B02D6" w:rsidP="00ED18D4">
      <w:pPr>
        <w:ind w:left="360" w:firstLine="0"/>
        <w:rPr>
          <w:noProof w:val="0"/>
        </w:rPr>
      </w:pPr>
      <w:r w:rsidRPr="00721C2C">
        <w:rPr>
          <w:noProof w:val="0"/>
        </w:rPr>
        <w:t>(5)</w:t>
      </w:r>
      <w:r w:rsidRPr="00721C2C">
        <w:rPr>
          <w:noProof w:val="0"/>
        </w:rPr>
        <w:tab/>
        <w:t>ISCIR definește în mod clar toate specificațiile tehnice care trebuie respectate de echipamentele și de sistemele din domeniul energiei din surse regenerabile pentru a putea beneficia de schemele de sprijin și pentru a fi eligibile în cadrul achizițiilor publice.</w:t>
      </w:r>
    </w:p>
    <w:p w14:paraId="73475A7A" w14:textId="041DAA42" w:rsidR="00B60F80" w:rsidRPr="00721C2C" w:rsidRDefault="00B60F80" w:rsidP="00ED18D4">
      <w:pPr>
        <w:pStyle w:val="Heading5"/>
      </w:pPr>
      <w:r w:rsidRPr="00721C2C">
        <w:t>- La art. 15 se modifică alin. (</w:t>
      </w:r>
      <w:r w:rsidR="002B02D6" w:rsidRPr="00721C2C">
        <w:t>6</w:t>
      </w:r>
      <w:r w:rsidRPr="00721C2C">
        <w:t>) și va avea următorul cuprins:</w:t>
      </w:r>
    </w:p>
    <w:p w14:paraId="1366EA91" w14:textId="21C99E8E" w:rsidR="00B60F80" w:rsidRPr="00721C2C" w:rsidRDefault="002B02D6" w:rsidP="00ED18D4">
      <w:pPr>
        <w:ind w:left="360" w:firstLine="0"/>
        <w:rPr>
          <w:noProof w:val="0"/>
        </w:rPr>
      </w:pPr>
      <w:r w:rsidRPr="00721C2C">
        <w:rPr>
          <w:noProof w:val="0"/>
        </w:rPr>
        <w:t>(6)</w:t>
      </w:r>
      <w:r w:rsidRPr="00721C2C">
        <w:rPr>
          <w:noProof w:val="0"/>
        </w:rPr>
        <w:tab/>
        <w:t xml:space="preserve">În cazul în care există standarde armonizate sau standarde europene, inclusiv sisteme de referințe tehnice stabilite de organismele de standardizare europene, specificațiile tehnice </w:t>
      </w:r>
      <w:r w:rsidRPr="00721C2C">
        <w:rPr>
          <w:noProof w:val="0"/>
        </w:rPr>
        <w:lastRenderedPageBreak/>
        <w:t>menționate se exprimă în raport cu aceste standarde. Se acordă prioritate standardelor armonizate ale căror referințe au fost publicate.</w:t>
      </w:r>
    </w:p>
    <w:p w14:paraId="181F4532" w14:textId="42C07D60" w:rsidR="002B02D6" w:rsidRPr="00721C2C" w:rsidRDefault="002B02D6" w:rsidP="00ED18D4">
      <w:pPr>
        <w:pStyle w:val="Heading5"/>
      </w:pPr>
      <w:r w:rsidRPr="00721C2C">
        <w:t>- La art. 15 se modifică alin. (7) și va avea următorul cuprins:</w:t>
      </w:r>
    </w:p>
    <w:p w14:paraId="02AE5527" w14:textId="5E02CDA9" w:rsidR="002B02D6" w:rsidRPr="00721C2C" w:rsidRDefault="002B02D6" w:rsidP="00ED18D4">
      <w:pPr>
        <w:ind w:left="360" w:firstLine="0"/>
        <w:rPr>
          <w:noProof w:val="0"/>
        </w:rPr>
      </w:pPr>
      <w:r w:rsidRPr="00721C2C">
        <w:rPr>
          <w:noProof w:val="0"/>
        </w:rPr>
        <w:t>(7)</w:t>
      </w:r>
      <w:r w:rsidRPr="00721C2C">
        <w:rPr>
          <w:noProof w:val="0"/>
        </w:rPr>
        <w:tab/>
        <w:t>În absența acestora, se utilizează alte standarde armonizate și standarde europene, în această ordine. Specificațiile tehnice în cauză nu prevăd în ce caz este necesară certificarea echipamentelor și a sistemelor și nu constituie o barieră în calea bunei funcționări a pieței interne.</w:t>
      </w:r>
    </w:p>
    <w:p w14:paraId="75055F4E" w14:textId="52CDE024" w:rsidR="002B02D6" w:rsidRPr="00721C2C" w:rsidRDefault="002B02D6" w:rsidP="00ED18D4">
      <w:pPr>
        <w:pStyle w:val="Heading5"/>
      </w:pPr>
      <w:r w:rsidRPr="00721C2C">
        <w:t>- La art. 15 se introduce după alin. (7) un nou alin. (7^1) cu următorul cuprins:</w:t>
      </w:r>
    </w:p>
    <w:p w14:paraId="6A261EA2" w14:textId="6EE7F90F" w:rsidR="002B02D6" w:rsidRPr="00721C2C" w:rsidRDefault="002B02D6" w:rsidP="00ED18D4">
      <w:pPr>
        <w:ind w:left="360" w:firstLine="0"/>
        <w:rPr>
          <w:noProof w:val="0"/>
        </w:rPr>
      </w:pPr>
      <w:r w:rsidRPr="00721C2C">
        <w:rPr>
          <w:noProof w:val="0"/>
        </w:rPr>
        <w:t>(7^1) Ministerul de resort, în colaborare cu MCID, prin programe dedicate la nivel național si parteneriate între instituții aparținând diferitelor state membre promovează testarea de tehnologii inovatoare în domeniul energiei din surse regenerabile pentru a produce, partaja și stoca energie din surse regenerabile prin proiecte-pilot într-un mediu real, pentru o perioadă limitată de timp, în conformitate cu dreptul Uniunii aplicabil și însoțite de garanții adecvate pentru a garanta funcționarea în condiții de siguranță a sistemului de energie electrică și pentru a evita impactul disproporționat asupra funcționării pieței interne.</w:t>
      </w:r>
    </w:p>
    <w:p w14:paraId="413BB4D4" w14:textId="77777777" w:rsidR="002B02D6" w:rsidRPr="00721C2C" w:rsidRDefault="002B02D6" w:rsidP="00ED18D4">
      <w:pPr>
        <w:pStyle w:val="Heading5"/>
      </w:pPr>
      <w:r w:rsidRPr="00721C2C">
        <w:t xml:space="preserve">- Se abrogă art. 15 alin. (10) - (13).  </w:t>
      </w:r>
    </w:p>
    <w:p w14:paraId="7425F7DF" w14:textId="02F87BC9" w:rsidR="002B02D6" w:rsidRPr="00721C2C" w:rsidRDefault="002B02D6" w:rsidP="00ED18D4">
      <w:pPr>
        <w:pStyle w:val="Heading5"/>
      </w:pPr>
      <w:r w:rsidRPr="00721C2C">
        <w:t>- La art. 15 se modifică alin. (14) și va avea următorul cuprins:</w:t>
      </w:r>
    </w:p>
    <w:p w14:paraId="4FAB87C9" w14:textId="39B5CF55" w:rsidR="002B02D6" w:rsidRPr="00721C2C" w:rsidRDefault="002B02D6" w:rsidP="00ED18D4">
      <w:pPr>
        <w:ind w:left="360" w:firstLine="0"/>
        <w:rPr>
          <w:noProof w:val="0"/>
        </w:rPr>
      </w:pPr>
      <w:r w:rsidRPr="00721C2C">
        <w:rPr>
          <w:noProof w:val="0"/>
        </w:rPr>
        <w:t>(14) Ministerul de resort, în colaborare cu ANRE:</w:t>
      </w:r>
    </w:p>
    <w:p w14:paraId="0285001E" w14:textId="16BDD3A1" w:rsidR="002B02D6" w:rsidRPr="00721C2C" w:rsidRDefault="002B02D6" w:rsidP="00ED18D4">
      <w:pPr>
        <w:pStyle w:val="ListParagraph"/>
        <w:numPr>
          <w:ilvl w:val="0"/>
          <w:numId w:val="155"/>
        </w:numPr>
        <w:rPr>
          <w:noProof w:val="0"/>
        </w:rPr>
      </w:pPr>
      <w:r w:rsidRPr="00721C2C">
        <w:rPr>
          <w:noProof w:val="0"/>
        </w:rPr>
        <w:t>evaluează barierele legislative și administrative în vederea încheierii de contracte pe termen lung de achiziție de energie din surse regenerabile, îndepărtează obstacolele nejustificate din calea unor astfel de contracte și promovează optarea pentru acestea, inclusiv prin explorarea modalităților de reducere a riscurilor financiare asociate acestora, eventual prin utilizarea garanțiilor pentru credite;</w:t>
      </w:r>
    </w:p>
    <w:p w14:paraId="3403E2B1" w14:textId="283C3698" w:rsidR="002B02D6" w:rsidRPr="00721C2C" w:rsidRDefault="002B02D6" w:rsidP="00ED18D4">
      <w:pPr>
        <w:pStyle w:val="ListParagraph"/>
        <w:numPr>
          <w:ilvl w:val="0"/>
          <w:numId w:val="155"/>
        </w:numPr>
        <w:rPr>
          <w:noProof w:val="0"/>
        </w:rPr>
      </w:pPr>
      <w:r w:rsidRPr="00721C2C">
        <w:rPr>
          <w:noProof w:val="0"/>
        </w:rPr>
        <w:t>se asigură că respectivele contracte nu fac obiectul unor proceduri sau taxe discriminatorii sau disproporționate și că orice garanție de origine asociată poate fi transferată cumpărătorului de energie din surse regenerabile în temeiul contractului de achiziție de energie din surse regenerabile.</w:t>
      </w:r>
    </w:p>
    <w:p w14:paraId="57572392" w14:textId="40694501" w:rsidR="00E236B0" w:rsidRPr="00721C2C" w:rsidRDefault="00E236B0" w:rsidP="00ED18D4">
      <w:pPr>
        <w:pStyle w:val="Heading5"/>
      </w:pPr>
      <w:r w:rsidRPr="00721C2C">
        <w:t>- La art. 15 după alin. (14) se introduc două noi alin. (15) și (16) cu următorul cuprins:</w:t>
      </w:r>
    </w:p>
    <w:p w14:paraId="4D9FEF3A" w14:textId="77777777" w:rsidR="00E236B0" w:rsidRPr="00721C2C" w:rsidRDefault="00E236B0" w:rsidP="00ED18D4">
      <w:pPr>
        <w:ind w:left="360" w:firstLine="0"/>
        <w:rPr>
          <w:noProof w:val="0"/>
        </w:rPr>
      </w:pPr>
      <w:r w:rsidRPr="00721C2C">
        <w:rPr>
          <w:noProof w:val="0"/>
        </w:rPr>
        <w:t>(15) Ministerul de resort descrie politicile și măsurile care promovează optarea pentru contracte de achiziție de energie din surse regenerabile în actualizarea PNIESC și în rapoartele naționale intermediare integrate privind energia și clima transmise. În rapoartele intermediare respective, Ministerul de resort indică, de asemenea, cantitatea de energie din surse regenerabile tranzacționată prin contracte de achiziție de energie din surse regenerabile.</w:t>
      </w:r>
    </w:p>
    <w:p w14:paraId="4BE736CA" w14:textId="0BA97032" w:rsidR="002B02D6" w:rsidRPr="00721C2C" w:rsidRDefault="00E236B0" w:rsidP="00ED18D4">
      <w:pPr>
        <w:ind w:left="360" w:firstLine="0"/>
        <w:rPr>
          <w:noProof w:val="0"/>
        </w:rPr>
      </w:pPr>
      <w:r w:rsidRPr="00721C2C">
        <w:rPr>
          <w:noProof w:val="0"/>
        </w:rPr>
        <w:t>(16) În respectarea prevederilor alin. (15), ANRE monitorizează cantitatea de energie din surse regenerabile tranzacționată prin contracte de achiziție de energie din surse regenerabile.</w:t>
      </w:r>
    </w:p>
    <w:p w14:paraId="0325A60A" w14:textId="6CE4EB37" w:rsidR="00E236B0" w:rsidRPr="00721C2C" w:rsidRDefault="00E236B0" w:rsidP="00ED18D4">
      <w:pPr>
        <w:pStyle w:val="Heading5"/>
      </w:pPr>
      <w:r w:rsidRPr="00721C2C">
        <w:t>- După art. 15 se introduc cinci noi art. (15^1-15^5) cu următorul cuprins:</w:t>
      </w:r>
    </w:p>
    <w:p w14:paraId="29C57700" w14:textId="77777777" w:rsidR="002A427B" w:rsidRPr="00721C2C" w:rsidRDefault="002A427B" w:rsidP="00ED18D4">
      <w:pPr>
        <w:ind w:left="360" w:firstLine="0"/>
        <w:rPr>
          <w:noProof w:val="0"/>
        </w:rPr>
      </w:pPr>
      <w:r w:rsidRPr="00721C2C">
        <w:rPr>
          <w:b/>
          <w:bCs/>
          <w:noProof w:val="0"/>
        </w:rPr>
        <w:t>Art. 15^1</w:t>
      </w:r>
      <w:r w:rsidRPr="00721C2C">
        <w:rPr>
          <w:noProof w:val="0"/>
        </w:rPr>
        <w:t xml:space="preserve"> - (1) MDLPA determină ponderea națională orientativă de energie din surse regenerabile produsă la fața locului sau în apropiere, precum și de energie din surse </w:t>
      </w:r>
      <w:r w:rsidRPr="00721C2C">
        <w:rPr>
          <w:noProof w:val="0"/>
        </w:rPr>
        <w:lastRenderedPageBreak/>
        <w:t xml:space="preserve">regenerabile preluată din rețea în consumul final de energie în sectorul clădirilor în anul 2030, corelată cu obiectivul orientativ, pentru ca, în 2030, ponderea energiei din surse regenerabile în sectorul clădirilor să reprezinte cel puțin 49 % din consumul final de energie al Uniunii din clădiri în 2030. </w:t>
      </w:r>
    </w:p>
    <w:p w14:paraId="17730242" w14:textId="77777777" w:rsidR="002A427B" w:rsidRPr="00721C2C" w:rsidRDefault="002A427B" w:rsidP="00ED18D4">
      <w:pPr>
        <w:ind w:left="360" w:firstLine="0"/>
        <w:rPr>
          <w:noProof w:val="0"/>
        </w:rPr>
      </w:pPr>
      <w:r w:rsidRPr="00721C2C">
        <w:rPr>
          <w:noProof w:val="0"/>
        </w:rPr>
        <w:t>(2)</w:t>
      </w:r>
      <w:r w:rsidRPr="00721C2C">
        <w:rPr>
          <w:noProof w:val="0"/>
        </w:rPr>
        <w:tab/>
        <w:t>MDLPA furnizează informații referitoare la realizarea obiectivului menționat la alin. (1), precum și informații cu privire la modul în care intenționează să realizeze acest obiectiv ministerului de resort în vederea includerii de acestora în actualizarea PNIESC.</w:t>
      </w:r>
    </w:p>
    <w:p w14:paraId="322A6DDA" w14:textId="77777777" w:rsidR="002A427B" w:rsidRPr="00721C2C" w:rsidRDefault="002A427B" w:rsidP="00ED18D4">
      <w:pPr>
        <w:ind w:left="360" w:firstLine="0"/>
        <w:rPr>
          <w:noProof w:val="0"/>
        </w:rPr>
      </w:pPr>
      <w:r w:rsidRPr="00721C2C">
        <w:rPr>
          <w:noProof w:val="0"/>
        </w:rPr>
        <w:t>(3)</w:t>
      </w:r>
      <w:r w:rsidRPr="00721C2C">
        <w:rPr>
          <w:noProof w:val="0"/>
        </w:rPr>
        <w:tab/>
        <w:t>Ministerul de resort și MDLPA pot contabiliza căldura și răcoarea reziduală în vederea atingerii ponderii naționale orientative stabilite în, până la o limită de 20 %; în cazul în care decid să facă acest lucru, ponderea națională estimată crește cu jumătate din procentajul de căldură și răcoare reziduală luat în calcul în respectiva pondere.</w:t>
      </w:r>
    </w:p>
    <w:p w14:paraId="20C50FCD" w14:textId="77777777" w:rsidR="002A427B" w:rsidRPr="00721C2C" w:rsidRDefault="002A427B" w:rsidP="00ED18D4">
      <w:pPr>
        <w:ind w:left="360" w:firstLine="0"/>
        <w:rPr>
          <w:noProof w:val="0"/>
        </w:rPr>
      </w:pPr>
      <w:r w:rsidRPr="00721C2C">
        <w:rPr>
          <w:noProof w:val="0"/>
        </w:rPr>
        <w:t>(4)</w:t>
      </w:r>
      <w:r w:rsidRPr="00721C2C">
        <w:rPr>
          <w:noProof w:val="0"/>
        </w:rPr>
        <w:tab/>
        <w:t xml:space="preserve">În reglementările și codurile din domeniul construcțiilor și, după caz, în scheme de sprijin, se introduc măsuri pentru a mări ponderea energiei electrice și a încălzirii și răcirii din surse regenerabile produse la fața locului sau în apropiere, precum și a energiei din surse regenerabile preluate din rețea, în parcul imobiliar. </w:t>
      </w:r>
    </w:p>
    <w:p w14:paraId="42FBE983" w14:textId="77777777" w:rsidR="002A427B" w:rsidRPr="00721C2C" w:rsidRDefault="002A427B" w:rsidP="00ED18D4">
      <w:pPr>
        <w:ind w:left="360" w:firstLine="0"/>
        <w:rPr>
          <w:noProof w:val="0"/>
        </w:rPr>
      </w:pPr>
      <w:r w:rsidRPr="00721C2C">
        <w:rPr>
          <w:noProof w:val="0"/>
        </w:rPr>
        <w:t>(5)</w:t>
      </w:r>
      <w:r w:rsidRPr="00721C2C">
        <w:rPr>
          <w:noProof w:val="0"/>
        </w:rPr>
        <w:tab/>
        <w:t xml:space="preserve">Măsurile menționate la alin. (4) pot include măsuri naționale referitoare la creșteri substanțiale ale autoconsumului de energie din surse regenerabile, ale comunităților de energie din surse regenerabile, ale stocării locale a energiei, ale reîncărcării inteligente și reîncărcării bidirecționale, ale altor servicii de flexibilitate, cum ar fi participarea activă a cererii, și în combinație cu îmbunătățiri ale eficienței energetice legate de cogenerare și renovări majore care măresc numărul de clădiri al căror consum de energie este aproape egal cu zero și de clădiri care depășesc cerințele minime de performanță energetică. </w:t>
      </w:r>
    </w:p>
    <w:p w14:paraId="553A2FB7" w14:textId="77777777" w:rsidR="002A427B" w:rsidRPr="00721C2C" w:rsidRDefault="002A427B" w:rsidP="00ED18D4">
      <w:pPr>
        <w:ind w:left="360" w:firstLine="0"/>
        <w:rPr>
          <w:noProof w:val="0"/>
        </w:rPr>
      </w:pPr>
      <w:r w:rsidRPr="00721C2C">
        <w:rPr>
          <w:noProof w:val="0"/>
        </w:rPr>
        <w:t>(6)</w:t>
      </w:r>
      <w:r w:rsidRPr="00721C2C">
        <w:rPr>
          <w:noProof w:val="0"/>
        </w:rPr>
        <w:tab/>
        <w:t>Pentru a atinge ponderea orientativă de energie din surse regenerabile prevăzută la alin. (1), MDLPA impune, în reglementările și legislația națională din domeniul construcțiilor și, după caz, în schemele de sprijin sau prin orice măsuri cu efect similar, utilizarea unor niveluri minime de energie din surse regenerabile, produse la fața locului sau în apropiere, precum și preluate din rețea, în clădirile noi și în cele existente, care fac obiectul unor renovări majore sau al unei reînnoiri a sistemului de încălzire, precum și în situațiile în care acest lucru este fezabil din punct de vedere economic, tehnic și funcționale; nivelurile  minime pot fi realizate, printre altele, și prin intermediul unei încălziri și răciri centralizate eficiente.</w:t>
      </w:r>
    </w:p>
    <w:p w14:paraId="34455340" w14:textId="77777777" w:rsidR="002A427B" w:rsidRPr="00721C2C" w:rsidRDefault="002A427B" w:rsidP="00ED18D4">
      <w:pPr>
        <w:ind w:left="360" w:firstLine="0"/>
        <w:rPr>
          <w:noProof w:val="0"/>
        </w:rPr>
      </w:pPr>
      <w:r w:rsidRPr="00721C2C">
        <w:rPr>
          <w:noProof w:val="0"/>
        </w:rPr>
        <w:t>(7)</w:t>
      </w:r>
      <w:r w:rsidRPr="00721C2C">
        <w:rPr>
          <w:noProof w:val="0"/>
        </w:rPr>
        <w:tab/>
        <w:t>Pentru clădirile existente, prevederile alin. (6) se aplică forțelor armate numai în măsura în care aplicarea acestora nu este incompatibilă cu natura și obiectivul principal al activităților forțelor armate și cu excepția materialelor utilizate exclusiv în scop militar.</w:t>
      </w:r>
    </w:p>
    <w:p w14:paraId="62979AEF" w14:textId="77777777" w:rsidR="002A427B" w:rsidRPr="00721C2C" w:rsidRDefault="002A427B" w:rsidP="00ED18D4">
      <w:pPr>
        <w:ind w:left="360" w:firstLine="0"/>
        <w:rPr>
          <w:noProof w:val="0"/>
        </w:rPr>
      </w:pPr>
      <w:r w:rsidRPr="00721C2C">
        <w:rPr>
          <w:noProof w:val="0"/>
        </w:rPr>
        <w:t>(8)</w:t>
      </w:r>
      <w:r w:rsidRPr="00721C2C">
        <w:rPr>
          <w:noProof w:val="0"/>
        </w:rPr>
        <w:tab/>
        <w:t>Clădirile publice de la nivel național și local reprezintă un exemplu în ceea ce privește ponderea energiei din surse regenerabile utilizate în conformitate cu art. 14 din Legea 372/2005.</w:t>
      </w:r>
    </w:p>
    <w:p w14:paraId="6D1FB71C" w14:textId="77777777" w:rsidR="002A427B" w:rsidRPr="00721C2C" w:rsidRDefault="002A427B" w:rsidP="00ED18D4">
      <w:pPr>
        <w:ind w:left="360" w:firstLine="0"/>
        <w:rPr>
          <w:noProof w:val="0"/>
        </w:rPr>
      </w:pPr>
      <w:r w:rsidRPr="00721C2C">
        <w:rPr>
          <w:noProof w:val="0"/>
        </w:rPr>
        <w:t>(9)</w:t>
      </w:r>
      <w:r w:rsidRPr="00721C2C">
        <w:rPr>
          <w:noProof w:val="0"/>
        </w:rPr>
        <w:tab/>
        <w:t>Obiectivul menționat la alin. (1) poate fi îndeplinit prin utilizarea acoperișurilor clădirilor publice sau cu caracter mixt public-privat de către părți terțe pentru instalații care produc energie din surse regenerabile.</w:t>
      </w:r>
    </w:p>
    <w:p w14:paraId="74C0A9C6" w14:textId="1BDE9272" w:rsidR="002A427B" w:rsidRPr="00721C2C" w:rsidRDefault="002A427B" w:rsidP="00ED18D4">
      <w:pPr>
        <w:ind w:left="360" w:firstLine="0"/>
        <w:rPr>
          <w:noProof w:val="0"/>
        </w:rPr>
      </w:pPr>
      <w:r w:rsidRPr="00721C2C">
        <w:rPr>
          <w:noProof w:val="0"/>
        </w:rPr>
        <w:t>(10) Autoritățile locale pot coopera cu comunitățile de energie din surse regenerabile în sectorul clădirilor, în special prin utilizarea achizițiilor publice.</w:t>
      </w:r>
    </w:p>
    <w:p w14:paraId="1E3E13D5" w14:textId="6021CB78" w:rsidR="002A427B" w:rsidRPr="00721C2C" w:rsidRDefault="002A427B" w:rsidP="00ED18D4">
      <w:pPr>
        <w:ind w:left="360" w:firstLine="0"/>
        <w:rPr>
          <w:noProof w:val="0"/>
        </w:rPr>
      </w:pPr>
      <w:r w:rsidRPr="00721C2C">
        <w:rPr>
          <w:noProof w:val="0"/>
        </w:rPr>
        <w:lastRenderedPageBreak/>
        <w:t xml:space="preserve">(11) Pentru a atinge ponderea orientativă de energie din surse regenerabile, Ministerul de resort și MDLPA promovează utilizarea sistemelor și echipamentelor de încălzire și răcire din surse regenerabile și tehnologii inovatoare, cum ar fi sistemele și echipamentele de încălzire și răcire inteligente bazate pe surse regenerabile care sunt electrificate, completate, după caz, cu gestionarea inteligentă a consumului de energie în clădiri. </w:t>
      </w:r>
    </w:p>
    <w:p w14:paraId="565F92CA" w14:textId="501235D2" w:rsidR="00E236B0" w:rsidRPr="00721C2C" w:rsidRDefault="002A427B" w:rsidP="00ED18D4">
      <w:pPr>
        <w:ind w:left="360" w:firstLine="0"/>
        <w:rPr>
          <w:noProof w:val="0"/>
        </w:rPr>
      </w:pPr>
      <w:r w:rsidRPr="00721C2C">
        <w:rPr>
          <w:noProof w:val="0"/>
        </w:rPr>
        <w:t>(12) În sensul alin. (11), se utilizează toate măsurile, instrumentele și stimulentele adecvate, inclusiv etichetele energetice dezvoltate în temeiul Regulamentului (UE) 2017/1369, certificatele de performanță energetică stabilite și alte certificate sau standarde relevante elaborate la nivelul Uniunii sau la nivel național; se asigură furnizarea de informații privind soluțiile alternative din surse regenerabile, cu un grad de eficiență ridicat din punct de vedere energetic, precum și privind instrumentele financiare și stimulentele disponibile pentru a promova creșterea ratei de înlocuire a sistemelor vechi de încălzire și trecerea într-o proporție mai mare la soluții bazate pe energie din surse regenerabile.</w:t>
      </w:r>
    </w:p>
    <w:p w14:paraId="048D7F21" w14:textId="77777777" w:rsidR="002D30FD" w:rsidRPr="00721C2C" w:rsidRDefault="002D30FD" w:rsidP="00ED18D4">
      <w:pPr>
        <w:ind w:left="360" w:firstLine="0"/>
        <w:rPr>
          <w:noProof w:val="0"/>
        </w:rPr>
      </w:pPr>
      <w:r w:rsidRPr="00721C2C">
        <w:rPr>
          <w:b/>
          <w:bCs/>
          <w:noProof w:val="0"/>
        </w:rPr>
        <w:t>Art. 15^2</w:t>
      </w:r>
      <w:r w:rsidRPr="00721C2C">
        <w:rPr>
          <w:noProof w:val="0"/>
        </w:rPr>
        <w:t xml:space="preserve"> - (1) Până la 21 mai 2025, ministerul de resort împreună cu MMAP, MADR, ANRE, ANR, CNTEE Transelectrica, operatorii de distribuție concesionari și autoritățile publice locale efectuează o cartografiere coordonată pentru implementarea energiei din surse regenerabile pe teritoriul României cu scopul de a identifica potențialul intern și zonele de pe suprafața terestră, subterană, marină sau apele interioare disponibile necesare pentru crearea de centrale producătoare de energie din surse regenerabile, precum și a infrastructurii aferente, cum ar fi rețelele și instalațiile de stocare, inclusiv stocarea termică, care sunt necesare pentru a acoperi cel puțin contribuțiile lor naționale la obiectivul privind energia din surse regenerabile pentru 2030. </w:t>
      </w:r>
    </w:p>
    <w:p w14:paraId="4352C2FF" w14:textId="77777777" w:rsidR="002D30FD" w:rsidRPr="00721C2C" w:rsidRDefault="002D30FD" w:rsidP="00ED18D4">
      <w:pPr>
        <w:ind w:left="360" w:firstLine="0"/>
        <w:rPr>
          <w:noProof w:val="0"/>
        </w:rPr>
      </w:pPr>
      <w:r w:rsidRPr="00721C2C">
        <w:rPr>
          <w:noProof w:val="0"/>
        </w:rPr>
        <w:t>(2)</w:t>
      </w:r>
      <w:r w:rsidRPr="00721C2C">
        <w:rPr>
          <w:noProof w:val="0"/>
        </w:rPr>
        <w:tab/>
        <w:t>În acest scop, autoritățile competente pot utiliza sau se pot baza pe documente sau planuri existente de amenajare a teritoriului, inclusiv pe planurile de amenajare a spațiului maritim.</w:t>
      </w:r>
    </w:p>
    <w:p w14:paraId="590F7858" w14:textId="77777777" w:rsidR="002D30FD" w:rsidRPr="00721C2C" w:rsidRDefault="002D30FD" w:rsidP="00ED18D4">
      <w:pPr>
        <w:ind w:left="360" w:firstLine="0"/>
        <w:rPr>
          <w:noProof w:val="0"/>
        </w:rPr>
      </w:pPr>
      <w:r w:rsidRPr="00721C2C">
        <w:rPr>
          <w:noProof w:val="0"/>
        </w:rPr>
        <w:t>(3)</w:t>
      </w:r>
      <w:r w:rsidRPr="00721C2C">
        <w:rPr>
          <w:noProof w:val="0"/>
        </w:rPr>
        <w:tab/>
        <w:t xml:space="preserve">SGG asigură coordonarea între toate autoritățile și entitățile naționale și locale relevante, în ceea ce privește cartografierea zonelor necesare. </w:t>
      </w:r>
    </w:p>
    <w:p w14:paraId="41889B4A" w14:textId="77777777" w:rsidR="002D30FD" w:rsidRPr="00721C2C" w:rsidRDefault="002D30FD" w:rsidP="00ED18D4">
      <w:pPr>
        <w:ind w:left="360" w:firstLine="0"/>
        <w:rPr>
          <w:noProof w:val="0"/>
        </w:rPr>
      </w:pPr>
      <w:r w:rsidRPr="00721C2C">
        <w:rPr>
          <w:noProof w:val="0"/>
        </w:rPr>
        <w:t>(4)</w:t>
      </w:r>
      <w:r w:rsidRPr="00721C2C">
        <w:rPr>
          <w:noProof w:val="0"/>
        </w:rPr>
        <w:tab/>
        <w:t>Autoritățile naționale și locale relevante se asigură că astfel de zone, inclusiv centralele existente producătoare de energie din surse regenerabile și mecanismele de cooperare, sunt proporționale cu traiectoriile estimate și cu capacitatea instalată totală planificată pentru fiecare tehnologie în domeniul energiei din surse regenerabile, stabilite în actualizarea PNIESC.</w:t>
      </w:r>
    </w:p>
    <w:p w14:paraId="30BA3F20" w14:textId="77777777" w:rsidR="002D30FD" w:rsidRPr="00721C2C" w:rsidRDefault="002D30FD" w:rsidP="00ED18D4">
      <w:pPr>
        <w:ind w:left="360" w:firstLine="0"/>
        <w:rPr>
          <w:noProof w:val="0"/>
        </w:rPr>
      </w:pPr>
      <w:r w:rsidRPr="00721C2C">
        <w:rPr>
          <w:noProof w:val="0"/>
        </w:rPr>
        <w:t>(5)</w:t>
      </w:r>
      <w:r w:rsidRPr="00721C2C">
        <w:rPr>
          <w:noProof w:val="0"/>
        </w:rPr>
        <w:tab/>
        <w:t xml:space="preserve">În scopul identificării zonelor menționate la alin. (1) se iau în considerare, în special: </w:t>
      </w:r>
    </w:p>
    <w:p w14:paraId="74146EE9" w14:textId="77777777" w:rsidR="002D30FD" w:rsidRPr="00721C2C" w:rsidRDefault="002D30FD" w:rsidP="00ED18D4">
      <w:pPr>
        <w:ind w:left="360" w:firstLine="0"/>
        <w:rPr>
          <w:noProof w:val="0"/>
        </w:rPr>
      </w:pPr>
      <w:r w:rsidRPr="00721C2C">
        <w:rPr>
          <w:noProof w:val="0"/>
        </w:rPr>
        <w:t>a)</w:t>
      </w:r>
      <w:r w:rsidRPr="00721C2C">
        <w:rPr>
          <w:noProof w:val="0"/>
        </w:rPr>
        <w:tab/>
        <w:t>disponibilitatea energiei din surse regenerabile și potențialul de producere a energiei din surse regenerabile al diferitelor tipuri de tehnologii în zonele de pe suprafața terestră, subterană, marină sau apele interioare;</w:t>
      </w:r>
    </w:p>
    <w:p w14:paraId="4EEFDB00" w14:textId="77777777" w:rsidR="002D30FD" w:rsidRPr="00721C2C" w:rsidRDefault="002D30FD" w:rsidP="00ED18D4">
      <w:pPr>
        <w:ind w:left="360" w:firstLine="0"/>
        <w:rPr>
          <w:noProof w:val="0"/>
        </w:rPr>
      </w:pPr>
      <w:r w:rsidRPr="00721C2C">
        <w:rPr>
          <w:noProof w:val="0"/>
        </w:rPr>
        <w:t>b)</w:t>
      </w:r>
      <w:r w:rsidRPr="00721C2C">
        <w:rPr>
          <w:noProof w:val="0"/>
        </w:rPr>
        <w:tab/>
        <w:t>cererea de energie preconizată, ținând seama de flexibilitatea potențială a consumului dispecerizabil și de câștigurile preconizate în materie de eficiență energetică și de integrarea sistemului energetic;</w:t>
      </w:r>
    </w:p>
    <w:p w14:paraId="62B180AA" w14:textId="77777777" w:rsidR="002D30FD" w:rsidRPr="00721C2C" w:rsidRDefault="002D30FD" w:rsidP="00ED18D4">
      <w:pPr>
        <w:ind w:left="360" w:firstLine="0"/>
        <w:rPr>
          <w:noProof w:val="0"/>
        </w:rPr>
      </w:pPr>
      <w:r w:rsidRPr="00721C2C">
        <w:rPr>
          <w:noProof w:val="0"/>
        </w:rPr>
        <w:t>c)</w:t>
      </w:r>
      <w:r w:rsidRPr="00721C2C">
        <w:rPr>
          <w:noProof w:val="0"/>
        </w:rPr>
        <w:tab/>
        <w:t>disponibilitatea infrastructurilor energetice, inclusiv a rețelelor, a capacității de stocare și a altor instrumente de flexibilitate relevante, sau potențialul de a crea sau de a moderniza o astfel de infrastructură de rețea și capacitate de stocare.</w:t>
      </w:r>
    </w:p>
    <w:p w14:paraId="4EA1E8A7" w14:textId="77777777" w:rsidR="002D30FD" w:rsidRPr="00721C2C" w:rsidRDefault="002D30FD" w:rsidP="00ED18D4">
      <w:pPr>
        <w:ind w:left="360" w:firstLine="0"/>
        <w:rPr>
          <w:noProof w:val="0"/>
        </w:rPr>
      </w:pPr>
      <w:r w:rsidRPr="00721C2C">
        <w:rPr>
          <w:noProof w:val="0"/>
        </w:rPr>
        <w:lastRenderedPageBreak/>
        <w:t>(6)</w:t>
      </w:r>
      <w:r w:rsidRPr="00721C2C">
        <w:rPr>
          <w:noProof w:val="0"/>
        </w:rPr>
        <w:tab/>
        <w:t>Autoritățile administrației publice locale favorizează utilizările multiple ale zonelor menționate la alin. (1), proiectele privind energia din surse regenerabile trebuie să fie compatibile cu utilizările preexistente ale zonelor respective.</w:t>
      </w:r>
    </w:p>
    <w:p w14:paraId="346721EA" w14:textId="77777777" w:rsidR="002D30FD" w:rsidRPr="00721C2C" w:rsidRDefault="002D30FD" w:rsidP="00ED18D4">
      <w:pPr>
        <w:ind w:left="360" w:firstLine="0"/>
        <w:rPr>
          <w:noProof w:val="0"/>
        </w:rPr>
      </w:pPr>
      <w:r w:rsidRPr="00721C2C">
        <w:rPr>
          <w:noProof w:val="0"/>
        </w:rPr>
        <w:t>(7)</w:t>
      </w:r>
      <w:r w:rsidRPr="00721C2C">
        <w:rPr>
          <w:noProof w:val="0"/>
        </w:rPr>
        <w:tab/>
        <w:t>Autoritățile administrației publice locale revizuiesc periodic și, atunci când este necesar, actualizează zonele menționate la alin. (1), în special în contextul actualizării PNIESC.</w:t>
      </w:r>
    </w:p>
    <w:p w14:paraId="738CE047" w14:textId="0EC3E618" w:rsidR="002D30FD" w:rsidRPr="00721C2C" w:rsidRDefault="00232A6A" w:rsidP="00ED18D4">
      <w:pPr>
        <w:ind w:left="360" w:firstLine="0"/>
        <w:rPr>
          <w:noProof w:val="0"/>
        </w:rPr>
      </w:pPr>
      <w:r w:rsidRPr="00721C2C">
        <w:rPr>
          <w:b/>
          <w:bCs/>
          <w:noProof w:val="0"/>
        </w:rPr>
        <w:t xml:space="preserve">Art. </w:t>
      </w:r>
      <w:r w:rsidR="002D30FD" w:rsidRPr="00721C2C">
        <w:rPr>
          <w:b/>
          <w:bCs/>
          <w:noProof w:val="0"/>
        </w:rPr>
        <w:t>15^3.</w:t>
      </w:r>
      <w:r w:rsidR="002D30FD" w:rsidRPr="00721C2C">
        <w:rPr>
          <w:noProof w:val="0"/>
        </w:rPr>
        <w:t xml:space="preserve"> – (1) Până la 21 februarie 2026, autoritățile prevăzute la art. 15^2 alin. (1), în colaborare cu Secretariatul General al Guvernului, adoptă unul sau mai multe planuri care desemnează, ca subcategorie a zonelor menționate la art. 15^2 alin. (1), zone pretabile accelerării proiectelor privind energia din surse regenerabile pentru unul sau mai multe tipuri de surse regenerabile de energie. </w:t>
      </w:r>
    </w:p>
    <w:p w14:paraId="7E84EE90" w14:textId="77777777" w:rsidR="002D30FD" w:rsidRPr="00721C2C" w:rsidRDefault="002D30FD" w:rsidP="00ED18D4">
      <w:pPr>
        <w:ind w:left="360" w:firstLine="0"/>
        <w:rPr>
          <w:noProof w:val="0"/>
        </w:rPr>
      </w:pPr>
      <w:r w:rsidRPr="00721C2C">
        <w:rPr>
          <w:noProof w:val="0"/>
        </w:rPr>
        <w:t>(2)</w:t>
      </w:r>
      <w:r w:rsidRPr="00721C2C">
        <w:rPr>
          <w:noProof w:val="0"/>
        </w:rPr>
        <w:tab/>
        <w:t>În elaborarea planurilor menționate la alin. (1) instalațiile de ardere pe bază de biomasă și hidrocentralele pot fi excluse. În planurile respective:</w:t>
      </w:r>
    </w:p>
    <w:p w14:paraId="4CC1045F" w14:textId="67582681" w:rsidR="002D30FD" w:rsidRPr="00721C2C" w:rsidRDefault="002D30FD" w:rsidP="00ED18D4">
      <w:pPr>
        <w:pStyle w:val="ListParagraph"/>
        <w:numPr>
          <w:ilvl w:val="0"/>
          <w:numId w:val="157"/>
        </w:numPr>
        <w:rPr>
          <w:noProof w:val="0"/>
        </w:rPr>
      </w:pPr>
      <w:r w:rsidRPr="00721C2C">
        <w:rPr>
          <w:noProof w:val="0"/>
        </w:rPr>
        <w:t>se desemnează zone terestre, de ape continentale și maritime suficient de omogene în care nu se preconizează că implementarea unui anumit tip sau a unor anumite tipuri de surse regenerabile de energie va avea un impact semnificativ asupra mediului, în considerarea particularităților zonei selectate și totodată:</w:t>
      </w:r>
    </w:p>
    <w:p w14:paraId="23D1864F" w14:textId="7DE9C2FA" w:rsidR="002D30FD" w:rsidRPr="00721C2C" w:rsidRDefault="002D30FD" w:rsidP="00ED18D4">
      <w:pPr>
        <w:pStyle w:val="ListParagraph"/>
        <w:numPr>
          <w:ilvl w:val="0"/>
          <w:numId w:val="158"/>
        </w:numPr>
        <w:rPr>
          <w:noProof w:val="0"/>
        </w:rPr>
      </w:pPr>
      <w:r w:rsidRPr="00721C2C">
        <w:rPr>
          <w:noProof w:val="0"/>
        </w:rPr>
        <w:t xml:space="preserve">se acordă prioritate suprafețelor artificiale și construite, cum ar fi acoperișurile și fațadele clădirilor, infrastructura de transport și împrejurimile sale directe, zonele de parcare, fermele, depozitele de deșeuri, siturile industriale, minele, corpurile de apă interioare artificiale, lacurile sau rezervoarele artificiale și, după caz, stațiile de tratare a apelor urbane reziduale, precum și terenurilor degradate care nu pot fi utilizate pentru agricultură; </w:t>
      </w:r>
    </w:p>
    <w:p w14:paraId="381A375A" w14:textId="501D60B0" w:rsidR="002D30FD" w:rsidRPr="00721C2C" w:rsidRDefault="002D30FD" w:rsidP="00ED18D4">
      <w:pPr>
        <w:pStyle w:val="ListParagraph"/>
        <w:numPr>
          <w:ilvl w:val="0"/>
          <w:numId w:val="158"/>
        </w:numPr>
        <w:rPr>
          <w:noProof w:val="0"/>
        </w:rPr>
      </w:pPr>
      <w:r w:rsidRPr="00721C2C">
        <w:rPr>
          <w:noProof w:val="0"/>
        </w:rPr>
        <w:t xml:space="preserve">se exclud siturile Natura 2000 și zonele desemnate în cadrul sistemelor naționale de protecție pentru conservarea naturii și a biodiversității, principalele rute de migrație a păsărilor și a mamiferelor marine, precum și alte zone identificate pe baza hărților de sensibilitate și a instrumentelor menționate la punctul (iii), cu excepția suprafețelor artificiale și construite situate în zonele respective, cum ar fi acoperișurile, zonele de parcare sau infrastructura de transport; </w:t>
      </w:r>
    </w:p>
    <w:p w14:paraId="60CA4971" w14:textId="45EAB65A" w:rsidR="002D30FD" w:rsidRPr="00721C2C" w:rsidRDefault="002D30FD" w:rsidP="00ED18D4">
      <w:pPr>
        <w:pStyle w:val="ListParagraph"/>
        <w:numPr>
          <w:ilvl w:val="0"/>
          <w:numId w:val="158"/>
        </w:numPr>
        <w:rPr>
          <w:noProof w:val="0"/>
        </w:rPr>
      </w:pPr>
      <w:r w:rsidRPr="00721C2C">
        <w:rPr>
          <w:noProof w:val="0"/>
        </w:rPr>
        <w:t>se utilizează toate instrumentele și seturile de date adecvate și proporționale pentru a identifica zonele în care centralele producătoare de energie din surse regenerabile nu ar avea niciun impact semnificativ asupra mediului, inclusiv cartografierea zonelor sensibile de faună sălbatică, ținând seama de datele disponibile în contextul dezvoltării unei rețele Natura 2000 coerente, atât în ceea ce privește tipurile de habitate și specii reglementate, cât și păsările și ariile protejate.</w:t>
      </w:r>
    </w:p>
    <w:p w14:paraId="4B705468" w14:textId="3E024FC2" w:rsidR="002D30FD" w:rsidRPr="00721C2C" w:rsidRDefault="002D30FD" w:rsidP="00ED18D4">
      <w:pPr>
        <w:pStyle w:val="ListParagraph"/>
        <w:numPr>
          <w:ilvl w:val="0"/>
          <w:numId w:val="157"/>
        </w:numPr>
        <w:rPr>
          <w:noProof w:val="0"/>
        </w:rPr>
      </w:pPr>
      <w:r w:rsidRPr="00721C2C">
        <w:rPr>
          <w:noProof w:val="0"/>
        </w:rPr>
        <w:t xml:space="preserve">se stabilesc norme adecvate pentru zonele pretabile accelerării proiectelor privind energia din surse regenerabile în ceea ce privește măsurile de atenuare efective care trebuie adoptate pentru instalarea centralelor producătoare de energie din surse regenerabile și a stocării energiei în același amplasament, precum și pentru activele necesare pentru racordarea unor astfel de centrale și stocări la rețea, cu scopul de a evita sau, dacă nu este posibil, de a reduce în mod semnificativ impactul negativ asupra mediului care poate apărea, asigurându-se, după caz, că măsurile de atenuare adecvate sunt aplicate în mod proporțional și în timp util pentru a asigura respectarea obligațiilor </w:t>
      </w:r>
      <w:r w:rsidRPr="00721C2C">
        <w:rPr>
          <w:noProof w:val="0"/>
        </w:rPr>
        <w:lastRenderedPageBreak/>
        <w:t>prevăzute la art. 31, art. 33 din OUG 57/2007 și  la art. (2^1) din OUG nr. 3/2010, pentru a evita deteriorarea și a obține o stare ecologică bună sau un potențial ecologic bun.</w:t>
      </w:r>
    </w:p>
    <w:p w14:paraId="2F630A40" w14:textId="77777777" w:rsidR="002D30FD" w:rsidRPr="00721C2C" w:rsidRDefault="002D30FD" w:rsidP="00ED18D4">
      <w:pPr>
        <w:ind w:left="360" w:firstLine="0"/>
        <w:rPr>
          <w:noProof w:val="0"/>
        </w:rPr>
      </w:pPr>
      <w:r w:rsidRPr="00721C2C">
        <w:rPr>
          <w:noProof w:val="0"/>
        </w:rPr>
        <w:t>(3)</w:t>
      </w:r>
      <w:r w:rsidRPr="00721C2C">
        <w:rPr>
          <w:noProof w:val="0"/>
        </w:rPr>
        <w:tab/>
        <w:t xml:space="preserve">Normele prevăzute la alin. (2) lit. b) sunt orientate către particularitățile fiecărei zone pretabile accelerării proiectelor privind energia din surse regenerabile identificate, către tipul sau tipurile de tehnologie din domeniul energiei din surse regenerabile care urmează să fie implementate în fiecare zonă și către impactul identificat asupra mediului. </w:t>
      </w:r>
    </w:p>
    <w:p w14:paraId="058D0562" w14:textId="77777777" w:rsidR="002D30FD" w:rsidRPr="00721C2C" w:rsidRDefault="002D30FD" w:rsidP="00ED18D4">
      <w:pPr>
        <w:ind w:left="360" w:firstLine="0"/>
        <w:rPr>
          <w:noProof w:val="0"/>
        </w:rPr>
      </w:pPr>
      <w:r w:rsidRPr="00721C2C">
        <w:rPr>
          <w:noProof w:val="0"/>
        </w:rPr>
        <w:t>(4)</w:t>
      </w:r>
      <w:r w:rsidRPr="00721C2C">
        <w:rPr>
          <w:noProof w:val="0"/>
        </w:rPr>
        <w:tab/>
        <w:t>Respectarea normelor menționate la alin. (2) lit. b) și punerea în aplicare a măsurilor de atenuare adecvate de către proiectele individuale conduc la prezumția că proiectele nu încalcă dispozițiile respective, fără a aduce atingere art. (16^1) alin. (9)-(21).</w:t>
      </w:r>
    </w:p>
    <w:p w14:paraId="0E1422B3" w14:textId="77777777" w:rsidR="002D30FD" w:rsidRPr="00721C2C" w:rsidRDefault="002D30FD" w:rsidP="00ED18D4">
      <w:pPr>
        <w:ind w:left="360" w:firstLine="0"/>
        <w:rPr>
          <w:noProof w:val="0"/>
        </w:rPr>
      </w:pPr>
      <w:r w:rsidRPr="00721C2C">
        <w:rPr>
          <w:noProof w:val="0"/>
        </w:rPr>
        <w:t>(5)</w:t>
      </w:r>
      <w:r w:rsidRPr="00721C2C">
        <w:rPr>
          <w:noProof w:val="0"/>
        </w:rPr>
        <w:tab/>
        <w:t xml:space="preserve">În cazul în care noile măsuri de atenuare menite să prevină pe cât posibil uciderea sau perturbarea speciilor protejate în temeiul OUG 57/2007 sau orice alt impact asupra mediului nu au fost testate pe scară largă în ceea ce privește eficacitatea lor, autoritățile competente pot permite utilizarea lor pentru unul sau mai multe proiecte-pilot pentru o perioadă determinată, cu condiția ca eficacitatea acestor măsuri să fie monitorizată îndeaproape și să fie luate imediat măsuri adecvate, în cazul în care respectivele măsuri de atenuare nu se dovedesc a fi eficace. </w:t>
      </w:r>
    </w:p>
    <w:p w14:paraId="3583D2F1" w14:textId="77777777" w:rsidR="002D30FD" w:rsidRPr="00721C2C" w:rsidRDefault="002D30FD" w:rsidP="00ED18D4">
      <w:pPr>
        <w:ind w:left="360" w:firstLine="0"/>
        <w:rPr>
          <w:noProof w:val="0"/>
        </w:rPr>
      </w:pPr>
      <w:r w:rsidRPr="00721C2C">
        <w:rPr>
          <w:noProof w:val="0"/>
        </w:rPr>
        <w:t>(6)</w:t>
      </w:r>
      <w:r w:rsidRPr="00721C2C">
        <w:rPr>
          <w:noProof w:val="0"/>
        </w:rPr>
        <w:tab/>
        <w:t xml:space="preserve">În cadrul planurilor de desemnare a zonelor pretabile accelerării proiectelor privind energia din surse regenerabile menționate la alin. (1), vor fi prezentate rezultatele evaluărilor efectuate pentru a identifica fiecare zonă pretabilă accelerării proiectelor de producere a energiei din surse regenerabile desemnată pe baza criteriilor stabilite și pentru a identifica măsurile de atenuare adecvate. </w:t>
      </w:r>
    </w:p>
    <w:p w14:paraId="1D403DF2" w14:textId="77777777" w:rsidR="002D30FD" w:rsidRPr="00721C2C" w:rsidRDefault="002D30FD" w:rsidP="00ED18D4">
      <w:pPr>
        <w:ind w:left="360" w:firstLine="0"/>
        <w:rPr>
          <w:noProof w:val="0"/>
        </w:rPr>
      </w:pPr>
      <w:r w:rsidRPr="00721C2C">
        <w:rPr>
          <w:noProof w:val="0"/>
        </w:rPr>
        <w:t>(7)</w:t>
      </w:r>
      <w:r w:rsidRPr="00721C2C">
        <w:rPr>
          <w:noProof w:val="0"/>
        </w:rPr>
        <w:tab/>
        <w:t>Înainte de adoptare, planurile de desemnare a zonelor de accelerare a proiectelor privind energia din surse regenerabile sunt supuse unei evaluări de mediu în temeiul HG nr. 1076/2004, și, dacă sunt susceptibile de a avea un impact semnificativ asupra siturilor Natura 2000, sunt supuse evaluării adecvate în temeiul articolului 31 din OUG nr. 57/2007.</w:t>
      </w:r>
    </w:p>
    <w:p w14:paraId="449530F3" w14:textId="77777777" w:rsidR="002D30FD" w:rsidRPr="00721C2C" w:rsidRDefault="002D30FD" w:rsidP="00ED18D4">
      <w:pPr>
        <w:ind w:left="360" w:firstLine="0"/>
        <w:rPr>
          <w:noProof w:val="0"/>
        </w:rPr>
      </w:pPr>
      <w:r w:rsidRPr="00721C2C">
        <w:rPr>
          <w:noProof w:val="0"/>
        </w:rPr>
        <w:t>(8)</w:t>
      </w:r>
      <w:r w:rsidRPr="00721C2C">
        <w:rPr>
          <w:noProof w:val="0"/>
        </w:rPr>
        <w:tab/>
        <w:t xml:space="preserve">Zonele pretabile accelerării proiectelor privind energia din surse regenerabile stabilite în planurile menționate la alin. (1) vor fi dimensionate luând în considerare particularitățile și cerințele tipului sau tipurilor de tehnologie pentru care se instituie zone pretabile accelerării proiectelor privind energia din surse regenerabile, iar dimensiunea combinată a respectivelor zone să fie semnificativă și să contribuie la realizarea obiectivelor stabilite. </w:t>
      </w:r>
    </w:p>
    <w:p w14:paraId="2A83B16C" w14:textId="77777777" w:rsidR="002D30FD" w:rsidRPr="00721C2C" w:rsidRDefault="002D30FD" w:rsidP="00ED18D4">
      <w:pPr>
        <w:ind w:left="360" w:firstLine="0"/>
        <w:rPr>
          <w:noProof w:val="0"/>
        </w:rPr>
      </w:pPr>
      <w:r w:rsidRPr="00721C2C">
        <w:rPr>
          <w:noProof w:val="0"/>
        </w:rPr>
        <w:t>(9)</w:t>
      </w:r>
      <w:r w:rsidRPr="00721C2C">
        <w:rPr>
          <w:noProof w:val="0"/>
        </w:rPr>
        <w:tab/>
        <w:t>Planurile care desemnează zone pretabile accelerării proiectelor privind energia din surse regenerabile se publică și se revizuiesc periodic, după caz, în special în contextul actualizării PNIESC.</w:t>
      </w:r>
    </w:p>
    <w:p w14:paraId="193A393B" w14:textId="5D14A350" w:rsidR="002D30FD" w:rsidRPr="00721C2C" w:rsidRDefault="002D30FD" w:rsidP="00ED18D4">
      <w:pPr>
        <w:ind w:left="360" w:firstLine="0"/>
        <w:rPr>
          <w:noProof w:val="0"/>
        </w:rPr>
      </w:pPr>
      <w:r w:rsidRPr="00721C2C">
        <w:rPr>
          <w:noProof w:val="0"/>
        </w:rPr>
        <w:t>(10)</w:t>
      </w:r>
      <w:r w:rsidR="00232A6A" w:rsidRPr="00721C2C">
        <w:rPr>
          <w:noProof w:val="0"/>
        </w:rPr>
        <w:t xml:space="preserve"> </w:t>
      </w:r>
      <w:r w:rsidRPr="00721C2C">
        <w:rPr>
          <w:noProof w:val="0"/>
        </w:rPr>
        <w:t xml:space="preserve">Autoritățole prevăzute la art. 15^2 alin. (1) pot declara drept zone pretabile accelerării proiectelor privind energia din surse regenerabile zone specifice care au fost deja desemnate drept zone adecvate din surse regenerabile, dacă sunt îndeplinite cumulativ următoare condiții: </w:t>
      </w:r>
    </w:p>
    <w:p w14:paraId="69B23A5D" w14:textId="746B82DC" w:rsidR="002D30FD" w:rsidRPr="00721C2C" w:rsidRDefault="002D30FD" w:rsidP="00ED18D4">
      <w:pPr>
        <w:pStyle w:val="ListParagraph"/>
        <w:numPr>
          <w:ilvl w:val="0"/>
          <w:numId w:val="159"/>
        </w:numPr>
        <w:rPr>
          <w:noProof w:val="0"/>
        </w:rPr>
      </w:pPr>
      <w:r w:rsidRPr="00721C2C">
        <w:rPr>
          <w:noProof w:val="0"/>
        </w:rPr>
        <w:t xml:space="preserve">astfel de zone se află în afara siturilor Natura 2000, a zonelor desemnate în cadrul sistemelor naționale de protecție pentru conservarea naturii și a biodiversității și a rutelor identificate de migrație a păsărilor; </w:t>
      </w:r>
    </w:p>
    <w:p w14:paraId="7575E8E2" w14:textId="18F7796D" w:rsidR="002D30FD" w:rsidRPr="00721C2C" w:rsidRDefault="002D30FD" w:rsidP="00ED18D4">
      <w:pPr>
        <w:pStyle w:val="ListParagraph"/>
        <w:numPr>
          <w:ilvl w:val="0"/>
          <w:numId w:val="159"/>
        </w:numPr>
        <w:rPr>
          <w:noProof w:val="0"/>
        </w:rPr>
      </w:pPr>
      <w:r w:rsidRPr="00721C2C">
        <w:rPr>
          <w:noProof w:val="0"/>
        </w:rPr>
        <w:t xml:space="preserve">planurile de identificare a unor astfel de zone au fost supuse unei evaluări strategice de mediu în temeiul HG nr. 1076/2004 privind stabilirea procedurii de realizare a evaluării </w:t>
      </w:r>
      <w:r w:rsidRPr="00721C2C">
        <w:rPr>
          <w:noProof w:val="0"/>
        </w:rPr>
        <w:lastRenderedPageBreak/>
        <w:t xml:space="preserve">de mediu pentru planuri şi programe, cu modificările ulterioareși, după caz, unei evaluări în temeiul art. 31 al OUG nr. 57/2007; </w:t>
      </w:r>
    </w:p>
    <w:p w14:paraId="477423E8" w14:textId="2FE387F6" w:rsidR="002D30FD" w:rsidRPr="00721C2C" w:rsidRDefault="002D30FD" w:rsidP="00ED18D4">
      <w:pPr>
        <w:pStyle w:val="ListParagraph"/>
        <w:numPr>
          <w:ilvl w:val="0"/>
          <w:numId w:val="159"/>
        </w:numPr>
        <w:rPr>
          <w:noProof w:val="0"/>
        </w:rPr>
      </w:pPr>
      <w:r w:rsidRPr="00721C2C">
        <w:rPr>
          <w:noProof w:val="0"/>
        </w:rPr>
        <w:t>proiectele situate în astfel de zone pun în aplicare norme și măsuri adecvate și proporționale pentru a remedia impactul negativ asupra mediului care ar putea apărea.</w:t>
      </w:r>
    </w:p>
    <w:p w14:paraId="4D925438" w14:textId="180F82D3" w:rsidR="002D30FD" w:rsidRPr="00721C2C" w:rsidRDefault="002D30FD" w:rsidP="00ED18D4">
      <w:pPr>
        <w:ind w:left="360" w:firstLine="0"/>
        <w:rPr>
          <w:noProof w:val="0"/>
        </w:rPr>
      </w:pPr>
      <w:r w:rsidRPr="00721C2C">
        <w:rPr>
          <w:noProof w:val="0"/>
        </w:rPr>
        <w:t>(11)</w:t>
      </w:r>
      <w:r w:rsidR="00232A6A" w:rsidRPr="00721C2C">
        <w:rPr>
          <w:noProof w:val="0"/>
        </w:rPr>
        <w:t xml:space="preserve"> </w:t>
      </w:r>
      <w:r w:rsidRPr="00721C2C">
        <w:rPr>
          <w:noProof w:val="0"/>
        </w:rPr>
        <w:t>Autoritățile administrației publice locale, ANRE, CNTEE Transelectrica, Agențiile pentru Protecția Mediului și operatorii de distribuție concesionari, aplică procedurile de acordare a autorizațiilor și termenele menționate la articolul (16^1), proiectelor individuale din zonele pretabile accelerării proiectelor privind energia din surse regenerabile.</w:t>
      </w:r>
    </w:p>
    <w:p w14:paraId="01B5D97D" w14:textId="4DED51C6" w:rsidR="002D30FD" w:rsidRPr="00721C2C" w:rsidRDefault="00232A6A" w:rsidP="00ED18D4">
      <w:pPr>
        <w:ind w:left="360" w:firstLine="0"/>
        <w:rPr>
          <w:noProof w:val="0"/>
        </w:rPr>
      </w:pPr>
      <w:r w:rsidRPr="00721C2C">
        <w:rPr>
          <w:b/>
          <w:bCs/>
          <w:noProof w:val="0"/>
        </w:rPr>
        <w:t xml:space="preserve">Art. </w:t>
      </w:r>
      <w:r w:rsidR="002D30FD" w:rsidRPr="00721C2C">
        <w:rPr>
          <w:b/>
          <w:bCs/>
          <w:noProof w:val="0"/>
        </w:rPr>
        <w:t>15^4</w:t>
      </w:r>
      <w:r w:rsidR="002D30FD" w:rsidRPr="00721C2C">
        <w:rPr>
          <w:noProof w:val="0"/>
        </w:rPr>
        <w:t xml:space="preserve"> - (1) În procesul de elaborare a planului/planurilor de desemnare a zonelor pretabile accelerării proiectelor privind energia din surse regenerabile menționate la art. 15^3 alin. (1), se va asigura participarea publicului, în special  a publicului afectat sau care ar putea fi afectat  de desemnarea acestor tipuri de zone, în conformitate cu HG nr. 1076/2004, cu modificările ulterioare.</w:t>
      </w:r>
    </w:p>
    <w:p w14:paraId="38654E87" w14:textId="77777777" w:rsidR="002D30FD" w:rsidRPr="00721C2C" w:rsidRDefault="002D30FD" w:rsidP="00ED18D4">
      <w:pPr>
        <w:ind w:left="360" w:firstLine="0"/>
        <w:rPr>
          <w:noProof w:val="0"/>
        </w:rPr>
      </w:pPr>
      <w:r w:rsidRPr="00721C2C">
        <w:rPr>
          <w:noProof w:val="0"/>
        </w:rPr>
        <w:t>(2)</w:t>
      </w:r>
      <w:r w:rsidRPr="00721C2C">
        <w:rPr>
          <w:noProof w:val="0"/>
        </w:rPr>
        <w:tab/>
        <w:t>Autoritățile administrației publice locale promovează acceptarea publică a proiectelor privind energia din surse regenerabile prin participarea directă și indirectă a comunităților locale la proiectele respective.</w:t>
      </w:r>
    </w:p>
    <w:p w14:paraId="21825AC7" w14:textId="4393867D" w:rsidR="002D30FD" w:rsidRPr="00721C2C" w:rsidRDefault="009329AB" w:rsidP="00ED18D4">
      <w:pPr>
        <w:ind w:left="360" w:firstLine="0"/>
        <w:rPr>
          <w:noProof w:val="0"/>
        </w:rPr>
      </w:pPr>
      <w:r w:rsidRPr="00721C2C">
        <w:rPr>
          <w:b/>
          <w:bCs/>
          <w:noProof w:val="0"/>
        </w:rPr>
        <w:t xml:space="preserve">Art. </w:t>
      </w:r>
      <w:r w:rsidR="002D30FD" w:rsidRPr="00721C2C">
        <w:rPr>
          <w:b/>
          <w:bCs/>
          <w:noProof w:val="0"/>
        </w:rPr>
        <w:t>15^5</w:t>
      </w:r>
      <w:r w:rsidR="002D30FD" w:rsidRPr="00721C2C">
        <w:rPr>
          <w:noProof w:val="0"/>
        </w:rPr>
        <w:t xml:space="preserve"> – (1) CNTEE Transelectrica împreună cu operatorii de distribuție concesionari, pot adopta unul sau mai multe planuri de desemnare a unor zone de infrastructură dedicate pentru dezvoltarea proiectelor de rețea și de stocare care sunt necesare pentru integrarea energiei din surse regenerabile în sistemul de energie electrică luând în considerare și planul/planurile prevăzute la art. 15^3 alin. (1); în cazul în care nu se preconizează că o astfel de dezvoltare va avea un impact semnificativ asupra mediului sau un astfel de impact poate fi atenuat în mod corespunzător sau, dacă nu este posibil, compensat. </w:t>
      </w:r>
    </w:p>
    <w:p w14:paraId="20E14495" w14:textId="77777777" w:rsidR="002D30FD" w:rsidRPr="00721C2C" w:rsidRDefault="002D30FD" w:rsidP="00ED18D4">
      <w:pPr>
        <w:ind w:left="360" w:firstLine="0"/>
        <w:rPr>
          <w:noProof w:val="0"/>
        </w:rPr>
      </w:pPr>
      <w:r w:rsidRPr="00721C2C">
        <w:rPr>
          <w:noProof w:val="0"/>
        </w:rPr>
        <w:t>(2)</w:t>
      </w:r>
      <w:r w:rsidRPr="00721C2C">
        <w:rPr>
          <w:noProof w:val="0"/>
        </w:rPr>
        <w:tab/>
        <w:t xml:space="preserve">Scopul unor astfel de zone este de a sprijini și completa zonele pretabile accelerării proiectelor privind energia din surse regenerabile. Aceste planuri trebuie: </w:t>
      </w:r>
    </w:p>
    <w:p w14:paraId="7D10DC1F" w14:textId="67FA511D" w:rsidR="002D30FD" w:rsidRPr="00721C2C" w:rsidRDefault="002D30FD" w:rsidP="00ED18D4">
      <w:pPr>
        <w:pStyle w:val="ListParagraph"/>
        <w:numPr>
          <w:ilvl w:val="0"/>
          <w:numId w:val="160"/>
        </w:numPr>
        <w:rPr>
          <w:noProof w:val="0"/>
        </w:rPr>
      </w:pPr>
      <w:r w:rsidRPr="00721C2C">
        <w:rPr>
          <w:noProof w:val="0"/>
        </w:rPr>
        <w:t xml:space="preserve">pentru proiectele de rețea, să evite siturile Natura 2000 și zonele desemnate în cadrul sistemelor naționale de protecție pentru conservarea naturii și a biodiversității, cu excepția cazului în care nu există alternative proporționale pentru implementarea lor, ținând seama de obiectivele sitului; </w:t>
      </w:r>
    </w:p>
    <w:p w14:paraId="0AD982DB" w14:textId="6F2D6764" w:rsidR="002D30FD" w:rsidRPr="00721C2C" w:rsidRDefault="002D30FD" w:rsidP="00ED18D4">
      <w:pPr>
        <w:pStyle w:val="ListParagraph"/>
        <w:numPr>
          <w:ilvl w:val="0"/>
          <w:numId w:val="160"/>
        </w:numPr>
        <w:rPr>
          <w:noProof w:val="0"/>
        </w:rPr>
      </w:pPr>
      <w:r w:rsidRPr="00721C2C">
        <w:rPr>
          <w:noProof w:val="0"/>
        </w:rPr>
        <w:t>pentru proiectele de stocare, să excludă siturile Natura 2000 și zonele desemnate în cadrul sistemelor naționale de protecție;</w:t>
      </w:r>
    </w:p>
    <w:p w14:paraId="557DCD1F" w14:textId="7F8B58F5" w:rsidR="002D30FD" w:rsidRPr="00721C2C" w:rsidRDefault="002D30FD" w:rsidP="00ED18D4">
      <w:pPr>
        <w:pStyle w:val="ListParagraph"/>
        <w:numPr>
          <w:ilvl w:val="0"/>
          <w:numId w:val="160"/>
        </w:numPr>
        <w:rPr>
          <w:noProof w:val="0"/>
        </w:rPr>
      </w:pPr>
      <w:r w:rsidRPr="00721C2C">
        <w:rPr>
          <w:noProof w:val="0"/>
        </w:rPr>
        <w:t xml:space="preserve">să asigure sinergii cu desemnarea zonelor pretabile accelerării proiectelor privind energia din surse regenerabile; </w:t>
      </w:r>
    </w:p>
    <w:p w14:paraId="5632F5A1" w14:textId="1BB2FAB3" w:rsidR="002D30FD" w:rsidRPr="00721C2C" w:rsidRDefault="002D30FD" w:rsidP="00ED18D4">
      <w:pPr>
        <w:pStyle w:val="ListParagraph"/>
        <w:numPr>
          <w:ilvl w:val="0"/>
          <w:numId w:val="160"/>
        </w:numPr>
        <w:rPr>
          <w:noProof w:val="0"/>
        </w:rPr>
      </w:pPr>
      <w:r w:rsidRPr="00721C2C">
        <w:rPr>
          <w:noProof w:val="0"/>
        </w:rPr>
        <w:t xml:space="preserve">să facă obiectul unei evaluări de mediu în temeiul HG nr. 1076/2004, cu modificările și completările ulterioare, și, după caz, al unei evaluări în temeiul articolului 31 din OUG nr. 57/2007, cu modificările și completările ulterioare, și </w:t>
      </w:r>
    </w:p>
    <w:p w14:paraId="7C05F362" w14:textId="4085FEA7" w:rsidR="002D30FD" w:rsidRPr="00721C2C" w:rsidRDefault="002D30FD" w:rsidP="00ED18D4">
      <w:pPr>
        <w:pStyle w:val="ListParagraph"/>
        <w:numPr>
          <w:ilvl w:val="0"/>
          <w:numId w:val="160"/>
        </w:numPr>
        <w:rPr>
          <w:noProof w:val="0"/>
        </w:rPr>
      </w:pPr>
      <w:r w:rsidRPr="00721C2C">
        <w:rPr>
          <w:noProof w:val="0"/>
        </w:rPr>
        <w:t>să stabilească norme adecvate și proporționale, inclusiv cu privire la măsurile proporționale de atenuare care urmează să fie adoptate pentru dezvoltarea proiectelor de rețea și de stocare cu scopul de a evita efectele negative asupra mediului care pot apărea sau, dacă nu este posibil ca asemenea efecte să fie evitate, de a le reduce în mod semnificativ.</w:t>
      </w:r>
    </w:p>
    <w:p w14:paraId="1F980D6B" w14:textId="77777777" w:rsidR="002D30FD" w:rsidRPr="00721C2C" w:rsidRDefault="002D30FD" w:rsidP="00ED18D4">
      <w:pPr>
        <w:ind w:left="360" w:firstLine="0"/>
        <w:rPr>
          <w:noProof w:val="0"/>
        </w:rPr>
      </w:pPr>
      <w:r w:rsidRPr="00721C2C">
        <w:rPr>
          <w:noProof w:val="0"/>
        </w:rPr>
        <w:t>(3)</w:t>
      </w:r>
      <w:r w:rsidRPr="00721C2C">
        <w:rPr>
          <w:noProof w:val="0"/>
        </w:rPr>
        <w:tab/>
        <w:t xml:space="preserve">Prin derogare de la art. 7 alin (1) și de la art. 9 alin. (2) din Legea nr. 292/2018, cu modificările și completările ulterioare, precum și de la punctul 20 din anexa nr. 1 și de la </w:t>
      </w:r>
      <w:r w:rsidRPr="00721C2C">
        <w:rPr>
          <w:noProof w:val="0"/>
        </w:rPr>
        <w:lastRenderedPageBreak/>
        <w:t xml:space="preserve">punctul 3 litera (b) din anexa nr. 2 la legea antemenționată și prin derogare de la articolul 31 din OUG nr. 57/2007, cu modificările și completările ulterioare, în circumstanțe justificate, inclusiv în cazul în care acest lucru este necesar pentru accelerarea implementării energiei din surse regenerabile în vederea realizării obiectivelor privind clima și energia din surse regenerabile, proiectele de rețea și de stocare necesare pentru integrarea energiei din surse regenerabile în sistemul de energie electrică pot fi exceptate de la evaluarea impactului asupra mediului în temeiul articolului 7 alineatul (1) din Legea nr. 292/2018, cu modificările și completările ulterioare, de la o evaluare a implicațiilor acestora pentru siturile Natura 2000 în temeiul articolului 31 din OUG nr. 57/2007, cu modificările și completările ulterioare, și de la evaluarea implicațiilor acestora asupra protecției speciilor, în temeiul articolelor 31 și 33 din OUG nr. 57/2007, cu modificările și completările ulterioare, cu condiția ca proiectul de rețea sau de stocare să fie situat într-o zonă de infrastructură dedicată desemnată în conformitate cu alin. (1) și să respecte normele stabilite, inclusiv măsurile proporționale de atenuare care urmează să fie adoptate, în conformitate cu art alin. (2). </w:t>
      </w:r>
    </w:p>
    <w:p w14:paraId="7F3C1D29" w14:textId="77777777" w:rsidR="002D30FD" w:rsidRPr="00721C2C" w:rsidRDefault="002D30FD" w:rsidP="00ED18D4">
      <w:pPr>
        <w:ind w:left="360" w:firstLine="0"/>
        <w:rPr>
          <w:noProof w:val="0"/>
        </w:rPr>
      </w:pPr>
      <w:r w:rsidRPr="00721C2C">
        <w:rPr>
          <w:noProof w:val="0"/>
        </w:rPr>
        <w:t>(4)</w:t>
      </w:r>
      <w:r w:rsidRPr="00721C2C">
        <w:rPr>
          <w:noProof w:val="0"/>
        </w:rPr>
        <w:tab/>
        <w:t xml:space="preserve">Astfel de excepții pot fi acordate și în cazul zonelor de infrastructură desemnate înainte de 20 noiembrie 2026, în cazul în care acestea au făcut obiectul unei evaluări de mediu în temeiul HG nr. 1076/2004, cu modificările și completările ulterioare. </w:t>
      </w:r>
    </w:p>
    <w:p w14:paraId="30A94314" w14:textId="77777777" w:rsidR="002D30FD" w:rsidRPr="00721C2C" w:rsidRDefault="002D30FD" w:rsidP="00ED18D4">
      <w:pPr>
        <w:ind w:left="360" w:firstLine="0"/>
        <w:rPr>
          <w:noProof w:val="0"/>
        </w:rPr>
      </w:pPr>
      <w:r w:rsidRPr="00721C2C">
        <w:rPr>
          <w:noProof w:val="0"/>
        </w:rPr>
        <w:t>(5)</w:t>
      </w:r>
      <w:r w:rsidRPr="00721C2C">
        <w:rPr>
          <w:noProof w:val="0"/>
        </w:rPr>
        <w:tab/>
        <w:t>Astfel de derogări nu se aplică proiectelor care ar putea avea efecte semnificative asupra mediului într-un alt stat membru sau în cazul în care un stat membru care ar putea fi afectat în mod semnificativ solicită acest lucru, astfel cum se prevede în  Legea nr. 292/2018, cu modificările și completările ulterioare.</w:t>
      </w:r>
    </w:p>
    <w:p w14:paraId="6F998DAE" w14:textId="77777777" w:rsidR="002D30FD" w:rsidRPr="00721C2C" w:rsidRDefault="002D30FD" w:rsidP="00ED18D4">
      <w:pPr>
        <w:ind w:left="360" w:firstLine="0"/>
        <w:rPr>
          <w:noProof w:val="0"/>
        </w:rPr>
      </w:pPr>
      <w:r w:rsidRPr="00721C2C">
        <w:rPr>
          <w:noProof w:val="0"/>
        </w:rPr>
        <w:t>(6)</w:t>
      </w:r>
      <w:r w:rsidRPr="00721C2C">
        <w:rPr>
          <w:noProof w:val="0"/>
        </w:rPr>
        <w:tab/>
        <w:t xml:space="preserve">În aplicarea prevederilor alin. (3), MMAP elaborează o procedură de examinare a proiectelor care sunt situate în zone de infrastructură dedicate. O astfel de procedură de examinare se bazează pe datele existente obținute în cadrul evaluării de mediu efectuată în temeiul HG nr. 1076/2004, cu modificările și completările ulterioare. </w:t>
      </w:r>
    </w:p>
    <w:p w14:paraId="70DD424C" w14:textId="77777777" w:rsidR="002D30FD" w:rsidRPr="00721C2C" w:rsidRDefault="002D30FD" w:rsidP="00ED18D4">
      <w:pPr>
        <w:ind w:left="360" w:firstLine="0"/>
        <w:rPr>
          <w:noProof w:val="0"/>
        </w:rPr>
      </w:pPr>
      <w:r w:rsidRPr="00721C2C">
        <w:rPr>
          <w:noProof w:val="0"/>
        </w:rPr>
        <w:t>(7)</w:t>
      </w:r>
      <w:r w:rsidRPr="00721C2C">
        <w:rPr>
          <w:noProof w:val="0"/>
        </w:rPr>
        <w:tab/>
        <w:t>În cadrul procedurii de examinare MMAP poate cere solicitantului să furnizeze informații suplimentare disponibile.</w:t>
      </w:r>
    </w:p>
    <w:p w14:paraId="734541A3" w14:textId="77777777" w:rsidR="002D30FD" w:rsidRPr="00721C2C" w:rsidRDefault="002D30FD" w:rsidP="00ED18D4">
      <w:pPr>
        <w:ind w:left="360" w:firstLine="0"/>
        <w:rPr>
          <w:noProof w:val="0"/>
        </w:rPr>
      </w:pPr>
      <w:r w:rsidRPr="00721C2C">
        <w:rPr>
          <w:noProof w:val="0"/>
        </w:rPr>
        <w:t>(8)</w:t>
      </w:r>
      <w:r w:rsidRPr="00721C2C">
        <w:rPr>
          <w:noProof w:val="0"/>
        </w:rPr>
        <w:tab/>
        <w:t xml:space="preserve">Procedura de examinare menționată la alin. (6) trebuie finalizată și aprobată în termen de 30 de zile prin HG, de la aprobarea planului/planurilor prevăzute la alin. (1). </w:t>
      </w:r>
    </w:p>
    <w:p w14:paraId="24551E3F" w14:textId="77777777" w:rsidR="002D30FD" w:rsidRPr="00721C2C" w:rsidRDefault="002D30FD" w:rsidP="00ED18D4">
      <w:pPr>
        <w:ind w:left="360" w:firstLine="0"/>
        <w:rPr>
          <w:noProof w:val="0"/>
        </w:rPr>
      </w:pPr>
      <w:r w:rsidRPr="00721C2C">
        <w:rPr>
          <w:noProof w:val="0"/>
        </w:rPr>
        <w:t>(9)</w:t>
      </w:r>
      <w:r w:rsidRPr="00721C2C">
        <w:rPr>
          <w:noProof w:val="0"/>
        </w:rPr>
        <w:tab/>
        <w:t>Autoritățile competente precizate la alin. (1) pot excepta proiectele de rețea și de stocare în temeiul alin. (3)-(5) de la evaluările menționate la alin. (3) prin efectuarea procedurii de examinare menționată la alin. (6)</w:t>
      </w:r>
    </w:p>
    <w:p w14:paraId="7C0AFCDC" w14:textId="526A75E3" w:rsidR="002D30FD" w:rsidRPr="00721C2C" w:rsidRDefault="002D30FD" w:rsidP="00ED18D4">
      <w:pPr>
        <w:ind w:left="360" w:firstLine="0"/>
        <w:rPr>
          <w:noProof w:val="0"/>
        </w:rPr>
      </w:pPr>
      <w:r w:rsidRPr="00721C2C">
        <w:rPr>
          <w:noProof w:val="0"/>
        </w:rPr>
        <w:t>(10)</w:t>
      </w:r>
      <w:r w:rsidR="009329AB" w:rsidRPr="00721C2C">
        <w:rPr>
          <w:noProof w:val="0"/>
        </w:rPr>
        <w:t xml:space="preserve"> </w:t>
      </w:r>
      <w:r w:rsidRPr="00721C2C">
        <w:rPr>
          <w:noProof w:val="0"/>
        </w:rPr>
        <w:t>Scopul procedurii de examinare menționată la alin. (6) este de a identifica dacă este foarte probabil ca vreunul dintre proiecte să genereze efecte negative neprevăzute semnificative, având în vedere sensibilitatea ecologică a zonei geografice în care sunt situate, care nu au fost identificate în timpul evaluării de mediu a planurilor de desemnare a zonelor de infrastructură dedicate, efectuate în temeiul HG nr. 1076/2004, cu modificările și completările ulterioare, și, după caz, al OUG nr. 57/2007, cu modificările și completările ulterioare.</w:t>
      </w:r>
    </w:p>
    <w:p w14:paraId="4F71F1B4" w14:textId="7E6B2A69" w:rsidR="002D30FD" w:rsidRPr="00721C2C" w:rsidRDefault="002D30FD" w:rsidP="00ED18D4">
      <w:pPr>
        <w:ind w:left="360" w:firstLine="0"/>
        <w:rPr>
          <w:noProof w:val="0"/>
        </w:rPr>
      </w:pPr>
      <w:r w:rsidRPr="00721C2C">
        <w:rPr>
          <w:noProof w:val="0"/>
        </w:rPr>
        <w:t>(11)</w:t>
      </w:r>
      <w:r w:rsidR="009329AB" w:rsidRPr="00721C2C">
        <w:rPr>
          <w:noProof w:val="0"/>
        </w:rPr>
        <w:t xml:space="preserve"> </w:t>
      </w:r>
      <w:r w:rsidRPr="00721C2C">
        <w:rPr>
          <w:noProof w:val="0"/>
        </w:rPr>
        <w:t xml:space="preserve">În cazul în care procedura de examinare concluzionează că este foarte probabil ca un proiect să genereze efecte negative neprevăzute semnificative, astfel cum se menționează </w:t>
      </w:r>
      <w:r w:rsidRPr="00721C2C">
        <w:rPr>
          <w:noProof w:val="0"/>
        </w:rPr>
        <w:lastRenderedPageBreak/>
        <w:t>la alin. (10), MMAP se asigură, pe baza datelor existente, că se aplică măsuri de atenuare adecvate și proporționale pentru a aborda respectivele efecte.</w:t>
      </w:r>
    </w:p>
    <w:p w14:paraId="3067E76D" w14:textId="465B7CF4" w:rsidR="002D30FD" w:rsidRPr="00721C2C" w:rsidRDefault="002D30FD" w:rsidP="00ED18D4">
      <w:pPr>
        <w:ind w:left="360" w:firstLine="0"/>
        <w:rPr>
          <w:noProof w:val="0"/>
        </w:rPr>
      </w:pPr>
      <w:r w:rsidRPr="00721C2C">
        <w:rPr>
          <w:noProof w:val="0"/>
        </w:rPr>
        <w:t>(12) În cazul în care nu este posibil să fie aplicate astfel de măsuri de atenuare, MMAP se asigură că entitatea care dezvoltă proiectul adoptă măsuri compensatorii adecvate pentru a contracara efectele respective, care, dacă nu sunt disponibile alte măsuri compensatorii proporționale, pot lua forma unei compensații financiare pentru programele de protecție a speciilor cu scopul de a asigura sau a îmbunătăți starea de conservare a speciilor afectate.</w:t>
      </w:r>
    </w:p>
    <w:p w14:paraId="4D66DF66" w14:textId="3A0CEC77" w:rsidR="002D30FD" w:rsidRPr="00721C2C" w:rsidRDefault="002D30FD" w:rsidP="00ED18D4">
      <w:pPr>
        <w:ind w:left="360" w:firstLine="0"/>
        <w:rPr>
          <w:noProof w:val="0"/>
        </w:rPr>
      </w:pPr>
      <w:r w:rsidRPr="00721C2C">
        <w:rPr>
          <w:noProof w:val="0"/>
        </w:rPr>
        <w:t>(13)</w:t>
      </w:r>
      <w:r w:rsidR="009329AB" w:rsidRPr="00721C2C">
        <w:rPr>
          <w:noProof w:val="0"/>
        </w:rPr>
        <w:t xml:space="preserve"> </w:t>
      </w:r>
      <w:r w:rsidRPr="00721C2C">
        <w:rPr>
          <w:noProof w:val="0"/>
        </w:rPr>
        <w:t>În cazul în care integrarea energiei din surse regenerabile în sistemul de energie electrică necesită un proiect pentru a consolida infrastructura de rețea în zonele de infrastructură dedicate sau în afara acestora, iar un astfel de proiect face obiectul unei proceduri de examinare desfășurate în temeiul alin. (6)-(10), al unei analize a necesității de a supune proiectul unei evaluări a impactului asupra mediului sau al unei evaluări al impactului asupra mediului în temeiul art. 9 din Legea nr. 292/2018, cu modificările și completările ulterioare, o astfel de procedură de examinare, de analiză sau de evaluare a impactului asupra mediului se limitează la efectele potențiale care rezultă din modificare sau din extindere în comparație cu infrastructura de rețea originală.</w:t>
      </w:r>
    </w:p>
    <w:p w14:paraId="07BA7B77" w14:textId="4015DC6C" w:rsidR="002B02D6" w:rsidRPr="00721C2C" w:rsidRDefault="009329AB" w:rsidP="00ED18D4">
      <w:pPr>
        <w:pStyle w:val="Heading5"/>
        <w:rPr>
          <w:color w:val="auto"/>
        </w:rPr>
      </w:pPr>
      <w:r w:rsidRPr="00721C2C">
        <w:t>- Art. 16 se înlocuiește cu următorul text:</w:t>
      </w:r>
    </w:p>
    <w:p w14:paraId="1DA0CC34" w14:textId="77777777" w:rsidR="009329AB" w:rsidRPr="00721C2C" w:rsidRDefault="009329AB" w:rsidP="00ED18D4">
      <w:pPr>
        <w:ind w:left="360" w:firstLine="0"/>
        <w:rPr>
          <w:noProof w:val="0"/>
        </w:rPr>
      </w:pPr>
      <w:r w:rsidRPr="00721C2C">
        <w:rPr>
          <w:noProof w:val="0"/>
        </w:rPr>
        <w:t>(1)</w:t>
      </w:r>
      <w:r w:rsidRPr="00721C2C">
        <w:rPr>
          <w:noProof w:val="0"/>
        </w:rPr>
        <w:tab/>
        <w:t xml:space="preserve">Procedura de acordare a autorizațiilor vizează toate autorizațiile administrative relevante pentru construirea, retehnologizarea și exploatarea centralelor producătoare de energie din surse regenerabile, inclusiv cele care combină diferite surse regenerabile de energie, pompele de căldură și stocarea energiei în același amplasament, inclusiv instalațiile de producere a energiei electrice și termice, precum și activele necesare pentru conectarea unor astfel de centrale, pompe de căldură și stocări la rețea și pentru integrarea energiei din surse regenerabile în rețelele de încălzire și de răcire, inclusiv autorizațiile de racordare la rețea și, atunci când sunt necesare, evaluările de mediu. </w:t>
      </w:r>
    </w:p>
    <w:p w14:paraId="3CC69D5D" w14:textId="77777777" w:rsidR="009329AB" w:rsidRPr="00721C2C" w:rsidRDefault="009329AB" w:rsidP="00ED18D4">
      <w:pPr>
        <w:ind w:left="360" w:firstLine="0"/>
        <w:rPr>
          <w:noProof w:val="0"/>
        </w:rPr>
      </w:pPr>
      <w:r w:rsidRPr="00721C2C">
        <w:rPr>
          <w:noProof w:val="0"/>
        </w:rPr>
        <w:t>(2)</w:t>
      </w:r>
      <w:r w:rsidRPr="00721C2C">
        <w:rPr>
          <w:noProof w:val="0"/>
        </w:rPr>
        <w:tab/>
        <w:t>Procedura de acordare a autorizațiilor cuprinde toate etapele administrative, de la confirmarea caracterului complet al cererii de acordare a autorizației în conformitate cu alin. (3) și (4) până la notificarea deciziei finale privind rezultatul procedurii de acordare a autorizației de către autoritatea competentă relevantă.</w:t>
      </w:r>
    </w:p>
    <w:p w14:paraId="2A8FD4A6" w14:textId="77777777" w:rsidR="009329AB" w:rsidRPr="00721C2C" w:rsidRDefault="009329AB" w:rsidP="00ED18D4">
      <w:pPr>
        <w:ind w:left="360" w:firstLine="0"/>
        <w:rPr>
          <w:noProof w:val="0"/>
        </w:rPr>
      </w:pPr>
      <w:r w:rsidRPr="00721C2C">
        <w:rPr>
          <w:noProof w:val="0"/>
        </w:rPr>
        <w:t>(3)</w:t>
      </w:r>
      <w:r w:rsidRPr="00721C2C">
        <w:rPr>
          <w:noProof w:val="0"/>
        </w:rPr>
        <w:tab/>
        <w:t>În termen de 30 de zile de la primirea unei cereri de acordare a unei autorizații, în cazul centralelor producătoare de energie din surse regenerabile situate în zone pretabile accelerării proiectelor privind energia din surse regenerabile, și de 45 de zile în cazul centralelor producătoare de energie din surse regenerabile situate în afara zonelor pretabile accelerării proiectelor privind energia din surse regenerabile, autoritățile administrației publice locale implicate în procesul de autorizare confirmă caracterul complet al cererii sau, în cazul în care solicitantul nu a transmis toate informațiile necesare pentru prelucrarea cererii, solicită din partea solicitantului să depună o cerere completă fără întârzieri nejustificate. Data confirmării caracterului complet al cererii de către autoritățile administrației publice locale implicate în procesul de autorizare reprezintă începutul procedurii de acordare a autorizațiilor.</w:t>
      </w:r>
    </w:p>
    <w:p w14:paraId="6ADDB24E" w14:textId="77777777" w:rsidR="009329AB" w:rsidRPr="00721C2C" w:rsidRDefault="009329AB" w:rsidP="00ED18D4">
      <w:pPr>
        <w:ind w:left="360" w:firstLine="0"/>
        <w:rPr>
          <w:noProof w:val="0"/>
        </w:rPr>
      </w:pPr>
      <w:r w:rsidRPr="00721C2C">
        <w:rPr>
          <w:noProof w:val="0"/>
        </w:rPr>
        <w:t>(4)</w:t>
      </w:r>
      <w:r w:rsidRPr="00721C2C">
        <w:rPr>
          <w:noProof w:val="0"/>
        </w:rPr>
        <w:tab/>
        <w:t xml:space="preserve">Punctul de Contact Unic electronic, asistă pe solicitant pe întreg parcursul procedurii administrative de solicitare și de acordare a autorizațiilor. Solicitantul nu este nevoit să contacteze decât un singur punct de contact pe durata întregii proceduri.   Punctul de Contact </w:t>
      </w:r>
      <w:r w:rsidRPr="00721C2C">
        <w:rPr>
          <w:noProof w:val="0"/>
        </w:rPr>
        <w:lastRenderedPageBreak/>
        <w:t>Unic electronic asistă solicitantul pe tot parcursul procedurii administrative de depunere a cererilor de acordare a autorizației, inclusiv în etapele privind protecția mediului, în mod transparent, până în momentul emiterii uneia sau mai multor decizii la finalul procedurii de acordare a autorizației, furnizează solicitantului toate informațiile necesare și implică, atunci când este cazul, și alte autorități.</w:t>
      </w:r>
    </w:p>
    <w:p w14:paraId="560E378C" w14:textId="77777777" w:rsidR="009329AB" w:rsidRPr="00721C2C" w:rsidRDefault="009329AB" w:rsidP="00ED18D4">
      <w:pPr>
        <w:ind w:left="360" w:firstLine="0"/>
        <w:rPr>
          <w:noProof w:val="0"/>
        </w:rPr>
      </w:pPr>
      <w:r w:rsidRPr="00721C2C">
        <w:rPr>
          <w:noProof w:val="0"/>
        </w:rPr>
        <w:t>(5)</w:t>
      </w:r>
      <w:r w:rsidRPr="00721C2C">
        <w:rPr>
          <w:noProof w:val="0"/>
        </w:rPr>
        <w:tab/>
        <w:t xml:space="preserve">Prin Punctul de Contact Unic electronic se asigură că termenele pentru procedurile de acordare a autorizațiilor stabilite prin prezenta OUG sunt respectate. </w:t>
      </w:r>
    </w:p>
    <w:p w14:paraId="7A75CE32" w14:textId="77777777" w:rsidR="009329AB" w:rsidRPr="00721C2C" w:rsidRDefault="009329AB" w:rsidP="00ED18D4">
      <w:pPr>
        <w:ind w:left="360" w:firstLine="0"/>
        <w:rPr>
          <w:noProof w:val="0"/>
        </w:rPr>
      </w:pPr>
      <w:r w:rsidRPr="00721C2C">
        <w:rPr>
          <w:noProof w:val="0"/>
        </w:rPr>
        <w:t>(6)</w:t>
      </w:r>
      <w:r w:rsidRPr="00721C2C">
        <w:rPr>
          <w:noProof w:val="0"/>
        </w:rPr>
        <w:tab/>
        <w:t xml:space="preserve">Solicitanții pot depune documentele relevante și în format digital. </w:t>
      </w:r>
    </w:p>
    <w:p w14:paraId="14745A4A" w14:textId="77777777" w:rsidR="009329AB" w:rsidRPr="00721C2C" w:rsidRDefault="009329AB" w:rsidP="00ED18D4">
      <w:pPr>
        <w:ind w:left="360" w:firstLine="0"/>
        <w:rPr>
          <w:noProof w:val="0"/>
        </w:rPr>
      </w:pPr>
      <w:r w:rsidRPr="00721C2C">
        <w:rPr>
          <w:noProof w:val="0"/>
        </w:rPr>
        <w:t>(7)</w:t>
      </w:r>
      <w:r w:rsidRPr="00721C2C">
        <w:rPr>
          <w:noProof w:val="0"/>
        </w:rPr>
        <w:tab/>
        <w:t>Până la 21 noiembrie 2025, autoritățile competente se asigură că toate procedurile de acordare a autorizațiilor sunt efectuate în format electronic.</w:t>
      </w:r>
    </w:p>
    <w:p w14:paraId="4EB881C1" w14:textId="77777777" w:rsidR="009329AB" w:rsidRPr="00721C2C" w:rsidRDefault="009329AB" w:rsidP="00ED18D4">
      <w:pPr>
        <w:ind w:left="360" w:firstLine="0"/>
        <w:rPr>
          <w:noProof w:val="0"/>
        </w:rPr>
      </w:pPr>
      <w:r w:rsidRPr="00721C2C">
        <w:rPr>
          <w:noProof w:val="0"/>
        </w:rPr>
        <w:t>(8)</w:t>
      </w:r>
      <w:r w:rsidRPr="00721C2C">
        <w:rPr>
          <w:noProof w:val="0"/>
        </w:rPr>
        <w:tab/>
        <w:t>Punctul de Contact Unic electronic pune la dispoziție un manual de proceduri pentru dezvoltatorii de centrale producătoare de energie din surse regenerabile și publică informațiile respective online, abordând de asemenea, în mod distinct, proiectele privind energia regenerabilă de mici dimensiuni, proiectele autoconsumatorilor de energie din surse regenerabile și comunitățile de energie din surse regenerabile.</w:t>
      </w:r>
    </w:p>
    <w:p w14:paraId="17569DC9" w14:textId="77777777" w:rsidR="009329AB" w:rsidRPr="00721C2C" w:rsidRDefault="009329AB" w:rsidP="00ED18D4">
      <w:pPr>
        <w:ind w:left="360" w:firstLine="0"/>
        <w:rPr>
          <w:noProof w:val="0"/>
        </w:rPr>
      </w:pPr>
      <w:r w:rsidRPr="00721C2C">
        <w:rPr>
          <w:noProof w:val="0"/>
        </w:rPr>
        <w:t>(9)</w:t>
      </w:r>
      <w:r w:rsidRPr="00721C2C">
        <w:rPr>
          <w:noProof w:val="0"/>
        </w:rPr>
        <w:tab/>
        <w:t>Informațiile disponibile online indică punctul de contact relevant pentru cererea în cauză.</w:t>
      </w:r>
    </w:p>
    <w:p w14:paraId="70EFE53C" w14:textId="2D927BA0" w:rsidR="009329AB" w:rsidRPr="00721C2C" w:rsidRDefault="009329AB" w:rsidP="00ED18D4">
      <w:pPr>
        <w:ind w:left="360" w:firstLine="0"/>
        <w:rPr>
          <w:noProof w:val="0"/>
        </w:rPr>
      </w:pPr>
      <w:r w:rsidRPr="00721C2C">
        <w:rPr>
          <w:noProof w:val="0"/>
        </w:rPr>
        <w:t>(10) Autoritățile competente se asigură că solicitanții și publicul larg au acces ușor la proceduri simple pentru soluționarea litigiilor privind procedura de acordare a autorizațiilor și de acordare a autorizațiilor de construire și de exploatare a centralelor producătoare de energie din surse regenerabile, inclusiv, atunci când este cazul, la mecanisme alternative de soluționare a litigiilor.</w:t>
      </w:r>
    </w:p>
    <w:p w14:paraId="3E3A17FF" w14:textId="27405378" w:rsidR="009329AB" w:rsidRPr="00721C2C" w:rsidRDefault="009329AB" w:rsidP="00ED18D4">
      <w:pPr>
        <w:ind w:left="360" w:firstLine="0"/>
        <w:rPr>
          <w:noProof w:val="0"/>
        </w:rPr>
      </w:pPr>
      <w:r w:rsidRPr="00721C2C">
        <w:rPr>
          <w:noProof w:val="0"/>
        </w:rPr>
        <w:t>(11) Autoritățile competente se asigură că, în contextul unui proiect de dezvoltare a unei centrale producătoare de energie din surse regenerabile, al racordării centralei respective la rețea și al activelor necesare pentru a dezvolta rețelele de infrastructură energetică necesare pentru a integra energia din surse regenerabile în sistem, căile de atac administrative și judiciare, inclusiv căile de atac legate de aspectele de mediu, fac obiectul celei mai rapide proceduri administrative și judiciare disponibile la nivelul național, regional și local relevant.</w:t>
      </w:r>
    </w:p>
    <w:p w14:paraId="55B76C60" w14:textId="1BC05CAD" w:rsidR="009329AB" w:rsidRPr="00721C2C" w:rsidRDefault="009329AB" w:rsidP="00ED18D4">
      <w:pPr>
        <w:ind w:left="360" w:firstLine="0"/>
        <w:rPr>
          <w:noProof w:val="0"/>
        </w:rPr>
      </w:pPr>
      <w:r w:rsidRPr="00721C2C">
        <w:rPr>
          <w:noProof w:val="0"/>
        </w:rPr>
        <w:t>(12) Autoritățile administrației publice centrale și locale primesc resurse adecvate pentru a facilita procedura de obținere a autorizațiilor, pentru a asigura personal calificat, pentru perfecționarea și recalificarea acestuia în conformitate cu capacitatea instalată planificată de producere a energiei din surse regenerabile prevăzută în actualizarea PNIESC.</w:t>
      </w:r>
    </w:p>
    <w:p w14:paraId="78C57770" w14:textId="70B84B97" w:rsidR="009329AB" w:rsidRPr="00721C2C" w:rsidRDefault="009329AB" w:rsidP="00ED18D4">
      <w:pPr>
        <w:ind w:left="360" w:firstLine="0"/>
        <w:rPr>
          <w:noProof w:val="0"/>
        </w:rPr>
      </w:pPr>
      <w:r w:rsidRPr="00721C2C">
        <w:rPr>
          <w:noProof w:val="0"/>
        </w:rPr>
        <w:t xml:space="preserve">(13) Cu excepția cazului în care coincide cu alte etape administrative ale procedurii de acordare a autorizațiilor, durata procedurii de acordare a autorizațiilor nu include: </w:t>
      </w:r>
    </w:p>
    <w:p w14:paraId="4A83F85A" w14:textId="3A26160B" w:rsidR="009329AB" w:rsidRPr="00721C2C" w:rsidRDefault="009329AB" w:rsidP="00ED18D4">
      <w:pPr>
        <w:pStyle w:val="ListParagraph"/>
        <w:numPr>
          <w:ilvl w:val="0"/>
          <w:numId w:val="161"/>
        </w:numPr>
        <w:rPr>
          <w:noProof w:val="0"/>
        </w:rPr>
      </w:pPr>
      <w:r w:rsidRPr="00721C2C">
        <w:rPr>
          <w:noProof w:val="0"/>
        </w:rPr>
        <w:t xml:space="preserve">perioada în care centralele producătoare de energie din surse regenerabile, racordările lor la rețea, precum și – în vederea asigurării stabilității, fiabilității și siguranței rețelei – infrastructura de rețea necesară aferentă sunt în curs de construcție sau de retehnologizare; </w:t>
      </w:r>
    </w:p>
    <w:p w14:paraId="43DB677E" w14:textId="2CABF9BC" w:rsidR="009329AB" w:rsidRPr="00721C2C" w:rsidRDefault="009329AB" w:rsidP="00ED18D4">
      <w:pPr>
        <w:pStyle w:val="ListParagraph"/>
        <w:numPr>
          <w:ilvl w:val="0"/>
          <w:numId w:val="161"/>
        </w:numPr>
        <w:rPr>
          <w:noProof w:val="0"/>
        </w:rPr>
      </w:pPr>
      <w:r w:rsidRPr="00721C2C">
        <w:rPr>
          <w:noProof w:val="0"/>
        </w:rPr>
        <w:lastRenderedPageBreak/>
        <w:t xml:space="preserve">perioada corespunzătoare etapelor administrative necesare pentru modernizările semnificative ale rețelei de care este nevoie pentru a asigura stabilitatea, fiabilitatea și siguranța rețelei; </w:t>
      </w:r>
    </w:p>
    <w:p w14:paraId="531E1B99" w14:textId="71D892B7" w:rsidR="009329AB" w:rsidRPr="00721C2C" w:rsidRDefault="009329AB" w:rsidP="00ED18D4">
      <w:pPr>
        <w:pStyle w:val="ListParagraph"/>
        <w:numPr>
          <w:ilvl w:val="0"/>
          <w:numId w:val="161"/>
        </w:numPr>
        <w:rPr>
          <w:noProof w:val="0"/>
        </w:rPr>
      </w:pPr>
      <w:r w:rsidRPr="00721C2C">
        <w:rPr>
          <w:noProof w:val="0"/>
        </w:rPr>
        <w:t>termenele aferente oricăror căi de atac judiciare, măsuri reparatorii și alte proceduri în fața unei instanțe judecătorești și nici mecanismelor alternative de soluționare a litigiilor, inclusiv procedurilor de formulare a plângerilor și căilor de atac și măsurilor reparatorii extrajudiciare.</w:t>
      </w:r>
    </w:p>
    <w:p w14:paraId="3EF677E2" w14:textId="49A0E5AC" w:rsidR="00F104AF" w:rsidRPr="00721C2C" w:rsidRDefault="009329AB" w:rsidP="00ED18D4">
      <w:pPr>
        <w:ind w:left="360" w:firstLine="0"/>
        <w:rPr>
          <w:noProof w:val="0"/>
        </w:rPr>
      </w:pPr>
      <w:r w:rsidRPr="00721C2C">
        <w:rPr>
          <w:noProof w:val="0"/>
        </w:rPr>
        <w:t>(14) Deciziile care rezultă din procedurile de acordare a autorizațiilor sunt puse la dispoziția publicului în conformitate cu dreptul aplicabil.</w:t>
      </w:r>
    </w:p>
    <w:p w14:paraId="6645361C" w14:textId="4009D91C" w:rsidR="009329AB" w:rsidRPr="00721C2C" w:rsidRDefault="009329AB" w:rsidP="00ED18D4">
      <w:pPr>
        <w:pStyle w:val="Heading5"/>
      </w:pPr>
      <w:r w:rsidRPr="00721C2C">
        <w:t>- După articolul 16 se introduc șase noi art. 16^1-16^6 cu următorul cuprins:</w:t>
      </w:r>
    </w:p>
    <w:p w14:paraId="4A5DB3F2" w14:textId="77777777" w:rsidR="00204B5E" w:rsidRPr="00721C2C" w:rsidRDefault="00204B5E" w:rsidP="00ED18D4">
      <w:pPr>
        <w:ind w:left="360" w:firstLine="0"/>
        <w:rPr>
          <w:noProof w:val="0"/>
        </w:rPr>
      </w:pPr>
      <w:r w:rsidRPr="00721C2C">
        <w:rPr>
          <w:noProof w:val="0"/>
        </w:rPr>
        <w:t>(1)</w:t>
      </w:r>
      <w:r w:rsidRPr="00721C2C">
        <w:rPr>
          <w:noProof w:val="0"/>
        </w:rPr>
        <w:tab/>
        <w:t xml:space="preserve">Procedura de acordare a autorizațiilor vizează toate autorizațiile administrative relevante pentru construirea, retehnologizarea și exploatarea centralelor producătoare de energie din surse regenerabile, inclusiv cele care combină diferite surse regenerabile de energie, pompele de căldură și stocarea energiei în același amplasament, inclusiv instalațiile de producere a energiei electrice și termice, precum și activele necesare pentru conectarea unor astfel de centrale, pompe de căldură și stocări la rețea și pentru integrarea energiei din surse regenerabile în rețelele de încălzire și de răcire, inclusiv autorizațiile de racordare la rețea și, atunci când sunt necesare, evaluările de mediu. </w:t>
      </w:r>
    </w:p>
    <w:p w14:paraId="07CD1818" w14:textId="77777777" w:rsidR="00204B5E" w:rsidRPr="00721C2C" w:rsidRDefault="00204B5E" w:rsidP="00ED18D4">
      <w:pPr>
        <w:ind w:left="360" w:firstLine="0"/>
        <w:rPr>
          <w:noProof w:val="0"/>
        </w:rPr>
      </w:pPr>
      <w:r w:rsidRPr="00721C2C">
        <w:rPr>
          <w:noProof w:val="0"/>
        </w:rPr>
        <w:t>(2)</w:t>
      </w:r>
      <w:r w:rsidRPr="00721C2C">
        <w:rPr>
          <w:noProof w:val="0"/>
        </w:rPr>
        <w:tab/>
        <w:t>Procedura de acordare a autorizațiilor cuprinde toate etapele administrative, de la confirmarea caracterului complet al cererii de acordare a autorizației în conformitate cu alin. (3) și (4) până la notificarea deciziei finale privind rezultatul procedurii de acordare a autorizației de către autoritatea competentă relevantă.</w:t>
      </w:r>
    </w:p>
    <w:p w14:paraId="622207A4" w14:textId="77777777" w:rsidR="00204B5E" w:rsidRPr="00721C2C" w:rsidRDefault="00204B5E" w:rsidP="00ED18D4">
      <w:pPr>
        <w:ind w:left="360" w:firstLine="0"/>
        <w:rPr>
          <w:noProof w:val="0"/>
        </w:rPr>
      </w:pPr>
      <w:r w:rsidRPr="00721C2C">
        <w:rPr>
          <w:noProof w:val="0"/>
        </w:rPr>
        <w:t>(3)</w:t>
      </w:r>
      <w:r w:rsidRPr="00721C2C">
        <w:rPr>
          <w:noProof w:val="0"/>
        </w:rPr>
        <w:tab/>
        <w:t>În termen de 30 de zile de la primirea unei cereri de acordare a unei autorizații, în cazul centralelor producătoare de energie din surse regenerabile situate în zone pretabile accelerării proiectelor privind energia din surse regenerabile, și de 45 de zile în cazul centralelor producătoare de energie din surse regenerabile situate în afara zonelor pretabile accelerării proiectelor privind energia din surse regenerabile, autoritățile administrației publice locale implicate în procesul de autorizare confirmă caracterul complet al cererii sau, în cazul în care solicitantul nu a transmis toate informațiile necesare pentru prelucrarea cererii, solicită din partea solicitantului să depună o cerere completă fără întârzieri nejustificate. Data confirmării caracterului complet al cererii de către autoritățile administrației publice locale implicate în procesul de autorizare reprezintă începutul procedurii de acordare a autorizațiilor.</w:t>
      </w:r>
    </w:p>
    <w:p w14:paraId="6B97C91A" w14:textId="77777777" w:rsidR="00204B5E" w:rsidRPr="00721C2C" w:rsidRDefault="00204B5E" w:rsidP="00ED18D4">
      <w:pPr>
        <w:ind w:left="360" w:firstLine="0"/>
        <w:rPr>
          <w:noProof w:val="0"/>
        </w:rPr>
      </w:pPr>
      <w:r w:rsidRPr="00721C2C">
        <w:rPr>
          <w:noProof w:val="0"/>
        </w:rPr>
        <w:t>(4)</w:t>
      </w:r>
      <w:r w:rsidRPr="00721C2C">
        <w:rPr>
          <w:noProof w:val="0"/>
        </w:rPr>
        <w:tab/>
        <w:t>Punctul de Contact Unic electronic, asistă pe solicitant pe întreg parcursul procedurii administrative de solicitare și de acordare a autorizațiilor. Solicitantul nu este nevoit să contacteze decât un singur punct de contact pe durata întregii proceduri.   Punctul de Contact Unic electronic asistă solicitantul pe tot parcursul procedurii administrative de depunere a cererilor de acordare a autorizației, inclusiv în etapele privind protecția mediului, în mod transparent, până în momentul emiterii uneia sau mai multor decizii la finalul procedurii de acordare a autorizației, furnizează solicitantului toate informațiile necesare și implică, atunci când este cazul, și alte autorități.</w:t>
      </w:r>
    </w:p>
    <w:p w14:paraId="390AC9E8" w14:textId="77777777" w:rsidR="00204B5E" w:rsidRPr="00721C2C" w:rsidRDefault="00204B5E" w:rsidP="00ED18D4">
      <w:pPr>
        <w:ind w:left="360" w:firstLine="0"/>
        <w:rPr>
          <w:noProof w:val="0"/>
        </w:rPr>
      </w:pPr>
      <w:r w:rsidRPr="00721C2C">
        <w:rPr>
          <w:noProof w:val="0"/>
        </w:rPr>
        <w:t>(5)</w:t>
      </w:r>
      <w:r w:rsidRPr="00721C2C">
        <w:rPr>
          <w:noProof w:val="0"/>
        </w:rPr>
        <w:tab/>
        <w:t xml:space="preserve">Prin Punctul de Contact Unic electronic se asigură că termenele pentru procedurile de acordare a autorizațiilor stabilite prin prezenta OUG sunt respectate. </w:t>
      </w:r>
    </w:p>
    <w:p w14:paraId="6DF08CA4" w14:textId="77777777" w:rsidR="00204B5E" w:rsidRPr="00721C2C" w:rsidRDefault="00204B5E" w:rsidP="00ED18D4">
      <w:pPr>
        <w:ind w:left="360" w:firstLine="0"/>
        <w:rPr>
          <w:noProof w:val="0"/>
        </w:rPr>
      </w:pPr>
      <w:r w:rsidRPr="00721C2C">
        <w:rPr>
          <w:noProof w:val="0"/>
        </w:rPr>
        <w:lastRenderedPageBreak/>
        <w:t>(6)</w:t>
      </w:r>
      <w:r w:rsidRPr="00721C2C">
        <w:rPr>
          <w:noProof w:val="0"/>
        </w:rPr>
        <w:tab/>
        <w:t xml:space="preserve">Solicitanții pot depune documentele relevante și în format digital. </w:t>
      </w:r>
    </w:p>
    <w:p w14:paraId="405054BB" w14:textId="77777777" w:rsidR="00204B5E" w:rsidRPr="00721C2C" w:rsidRDefault="00204B5E" w:rsidP="00ED18D4">
      <w:pPr>
        <w:ind w:left="360" w:firstLine="0"/>
        <w:rPr>
          <w:noProof w:val="0"/>
        </w:rPr>
      </w:pPr>
      <w:r w:rsidRPr="00721C2C">
        <w:rPr>
          <w:noProof w:val="0"/>
        </w:rPr>
        <w:t>(7)</w:t>
      </w:r>
      <w:r w:rsidRPr="00721C2C">
        <w:rPr>
          <w:noProof w:val="0"/>
        </w:rPr>
        <w:tab/>
        <w:t>Până la 21 noiembrie 2025, autoritățile competente se asigură că toate procedurile de acordare a autorizațiilor sunt efectuate în format electronic.</w:t>
      </w:r>
    </w:p>
    <w:p w14:paraId="0475661F" w14:textId="77777777" w:rsidR="00204B5E" w:rsidRPr="00721C2C" w:rsidRDefault="00204B5E" w:rsidP="00ED18D4">
      <w:pPr>
        <w:ind w:left="360" w:firstLine="0"/>
        <w:rPr>
          <w:noProof w:val="0"/>
        </w:rPr>
      </w:pPr>
      <w:r w:rsidRPr="00721C2C">
        <w:rPr>
          <w:noProof w:val="0"/>
        </w:rPr>
        <w:t>(8)</w:t>
      </w:r>
      <w:r w:rsidRPr="00721C2C">
        <w:rPr>
          <w:noProof w:val="0"/>
        </w:rPr>
        <w:tab/>
        <w:t>Punctul de Contact Unic electronic pune la dispoziție un manual de proceduri pentru dezvoltatorii de centrale producătoare de energie din surse regenerabile și publică informațiile respective online, abordând de asemenea, în mod distinct, proiectele privind energia regenerabilă de mici dimensiuni, proiectele autoconsumatorilor de energie din surse regenerabile și comunitățile de energie din surse regenerabile.</w:t>
      </w:r>
    </w:p>
    <w:p w14:paraId="49C1F52D" w14:textId="77777777" w:rsidR="00204B5E" w:rsidRPr="00721C2C" w:rsidRDefault="00204B5E" w:rsidP="00ED18D4">
      <w:pPr>
        <w:ind w:left="360" w:firstLine="0"/>
        <w:rPr>
          <w:noProof w:val="0"/>
        </w:rPr>
      </w:pPr>
      <w:r w:rsidRPr="00721C2C">
        <w:rPr>
          <w:noProof w:val="0"/>
        </w:rPr>
        <w:t>(9)</w:t>
      </w:r>
      <w:r w:rsidRPr="00721C2C">
        <w:rPr>
          <w:noProof w:val="0"/>
        </w:rPr>
        <w:tab/>
        <w:t>Informațiile disponibile online indică punctul de contact relevant pentru cererea în cauză.</w:t>
      </w:r>
    </w:p>
    <w:p w14:paraId="30E7A6AD" w14:textId="77777777" w:rsidR="00204B5E" w:rsidRPr="00721C2C" w:rsidRDefault="00204B5E" w:rsidP="00ED18D4">
      <w:pPr>
        <w:ind w:left="360" w:firstLine="0"/>
        <w:rPr>
          <w:noProof w:val="0"/>
        </w:rPr>
      </w:pPr>
    </w:p>
    <w:p w14:paraId="41F200D5" w14:textId="4A19FE86" w:rsidR="00204B5E" w:rsidRPr="00721C2C" w:rsidRDefault="00204B5E" w:rsidP="00ED18D4">
      <w:pPr>
        <w:ind w:left="360" w:firstLine="0"/>
        <w:rPr>
          <w:noProof w:val="0"/>
        </w:rPr>
      </w:pPr>
      <w:r w:rsidRPr="00721C2C">
        <w:rPr>
          <w:noProof w:val="0"/>
        </w:rPr>
        <w:t>(10) Autoritățile competente se asigură că solicitanții și publicul larg au acces ușor la proceduri simple pentru soluționarea litigiilor privind procedura de acordare a autorizațiilor și de acordare a autorizațiilor de construire și de exploatare a centralelor producătoare de energie din surse regenerabile, inclusiv, atunci când este cazul, la mecanisme alternative de soluționare a litigiilor.</w:t>
      </w:r>
    </w:p>
    <w:p w14:paraId="0E991E0A" w14:textId="3CE63DA3" w:rsidR="00204B5E" w:rsidRPr="00721C2C" w:rsidRDefault="00204B5E" w:rsidP="00ED18D4">
      <w:pPr>
        <w:ind w:left="360" w:firstLine="0"/>
        <w:rPr>
          <w:noProof w:val="0"/>
        </w:rPr>
      </w:pPr>
      <w:r w:rsidRPr="00721C2C">
        <w:rPr>
          <w:noProof w:val="0"/>
        </w:rPr>
        <w:t>(11) Autoritățile competente se asigură că, în contextul unui proiect de dezvoltare a unei centrale producătoare de energie din surse regenerabile, al racordării centralei respective la rețea și al activelor necesare pentru a dezvolta rețelele de infrastructură energetică necesare pentru a integra energia din surse regenerabile în sistem, căile de atac administrative și judiciare, inclusiv căile de atac legate de aspectele de mediu, fac obiectul celei mai rapide proceduri administrative și judiciare disponibile la nivelul național, regional și local relevant.</w:t>
      </w:r>
    </w:p>
    <w:p w14:paraId="6ECB1199" w14:textId="4B4F44A9" w:rsidR="00204B5E" w:rsidRPr="00721C2C" w:rsidRDefault="00204B5E" w:rsidP="00ED18D4">
      <w:pPr>
        <w:ind w:left="360" w:firstLine="0"/>
        <w:rPr>
          <w:noProof w:val="0"/>
        </w:rPr>
      </w:pPr>
      <w:r w:rsidRPr="00721C2C">
        <w:rPr>
          <w:noProof w:val="0"/>
        </w:rPr>
        <w:t>(12) Autoritățile administrației publice centrale și locale primesc resurse adecvate pentru a facilita procedura de obținere a autorizațiilor, pentru a asigura personal calificat, pentru perfecționarea și recalificarea acestuia în conformitate cu capacitatea instalată planificată de producere a energiei din surse regenerabile prevăzută în PNIESC.</w:t>
      </w:r>
    </w:p>
    <w:p w14:paraId="643B2493" w14:textId="03E1DA2E" w:rsidR="00204B5E" w:rsidRPr="00721C2C" w:rsidRDefault="00204B5E" w:rsidP="00ED18D4">
      <w:pPr>
        <w:ind w:left="360" w:firstLine="0"/>
        <w:rPr>
          <w:noProof w:val="0"/>
        </w:rPr>
      </w:pPr>
      <w:r w:rsidRPr="00721C2C">
        <w:rPr>
          <w:noProof w:val="0"/>
        </w:rPr>
        <w:t xml:space="preserve">(13) Cu excepția cazului în care coincide cu alte etape administrative ale procedurii de acordare a autorizațiilor, durata procedurii de acordare a autorizațiilor nu include: </w:t>
      </w:r>
    </w:p>
    <w:p w14:paraId="4BF70F2B" w14:textId="57C8057C" w:rsidR="00204B5E" w:rsidRPr="00721C2C" w:rsidRDefault="00204B5E" w:rsidP="00ED18D4">
      <w:pPr>
        <w:pStyle w:val="ListParagraph"/>
        <w:numPr>
          <w:ilvl w:val="0"/>
          <w:numId w:val="162"/>
        </w:numPr>
        <w:rPr>
          <w:noProof w:val="0"/>
        </w:rPr>
      </w:pPr>
      <w:r w:rsidRPr="00721C2C">
        <w:rPr>
          <w:noProof w:val="0"/>
        </w:rPr>
        <w:t xml:space="preserve">perioada în care centralele producătoare de energie din surse regenerabile, racordările lor la rețea, precum și – în vederea asigurării stabilității, fiabilității și siguranței rețelei – infrastructura de rețea necesară aferentă sunt în curs de construcție sau de retehnologizare; </w:t>
      </w:r>
    </w:p>
    <w:p w14:paraId="600DB072" w14:textId="4EFB8F04" w:rsidR="00204B5E" w:rsidRPr="00721C2C" w:rsidRDefault="00204B5E" w:rsidP="00ED18D4">
      <w:pPr>
        <w:pStyle w:val="ListParagraph"/>
        <w:numPr>
          <w:ilvl w:val="0"/>
          <w:numId w:val="162"/>
        </w:numPr>
        <w:rPr>
          <w:noProof w:val="0"/>
        </w:rPr>
      </w:pPr>
      <w:r w:rsidRPr="00721C2C">
        <w:rPr>
          <w:noProof w:val="0"/>
        </w:rPr>
        <w:t xml:space="preserve">perioada corespunzătoare etapelor administrative necesare pentru modernizările semnificative ale rețelei de care este nevoie pentru a asigura stabilitatea, fiabilitatea și siguranța rețelei; </w:t>
      </w:r>
    </w:p>
    <w:p w14:paraId="0836FEBA" w14:textId="12A500E6" w:rsidR="00204B5E" w:rsidRPr="00721C2C" w:rsidRDefault="00204B5E" w:rsidP="00ED18D4">
      <w:pPr>
        <w:pStyle w:val="ListParagraph"/>
        <w:numPr>
          <w:ilvl w:val="0"/>
          <w:numId w:val="162"/>
        </w:numPr>
        <w:rPr>
          <w:noProof w:val="0"/>
        </w:rPr>
      </w:pPr>
      <w:r w:rsidRPr="00721C2C">
        <w:rPr>
          <w:noProof w:val="0"/>
        </w:rPr>
        <w:t>termenele aferente oricăror căi de atac judiciare, măsuri reparatorii și alte proceduri în fața unei instanțe judecătorești și nici mecanismelor alternative de soluționare a litigiilor, inclusiv procedurilor de formulare a plângerilor și căilor de atac și măsurilor reparatorii extrajudiciare.</w:t>
      </w:r>
    </w:p>
    <w:p w14:paraId="0BCDB65C" w14:textId="7300D5E3" w:rsidR="009329AB" w:rsidRPr="00721C2C" w:rsidRDefault="00204B5E" w:rsidP="00ED18D4">
      <w:pPr>
        <w:ind w:left="360" w:firstLine="0"/>
        <w:rPr>
          <w:noProof w:val="0"/>
        </w:rPr>
      </w:pPr>
      <w:r w:rsidRPr="00721C2C">
        <w:rPr>
          <w:noProof w:val="0"/>
        </w:rPr>
        <w:lastRenderedPageBreak/>
        <w:t>(14) Deciziile care rezultă din procedurile de acordare a autorizațiilor sunt puse la dispoziția publicului în conformitate cu dreptul aplicabil.</w:t>
      </w:r>
    </w:p>
    <w:p w14:paraId="734F0C14" w14:textId="4C304C47" w:rsidR="009329AB" w:rsidRPr="00721C2C" w:rsidRDefault="00204B5E" w:rsidP="00ED18D4">
      <w:pPr>
        <w:pStyle w:val="Heading5"/>
      </w:pPr>
      <w:r w:rsidRPr="00721C2C">
        <w:t>După articolul 16 se introduc șase noi art. 16^1-16^6 cu următorul cuprins:</w:t>
      </w:r>
    </w:p>
    <w:p w14:paraId="3FC73B67" w14:textId="3132C684" w:rsidR="00204B5E" w:rsidRPr="00721C2C" w:rsidRDefault="00204B5E" w:rsidP="00ED18D4">
      <w:pPr>
        <w:ind w:left="360" w:firstLine="0"/>
        <w:rPr>
          <w:noProof w:val="0"/>
        </w:rPr>
      </w:pPr>
      <w:r w:rsidRPr="00721C2C">
        <w:rPr>
          <w:b/>
          <w:bCs/>
          <w:noProof w:val="0"/>
        </w:rPr>
        <w:t>Art. 16^1</w:t>
      </w:r>
      <w:r w:rsidRPr="00721C2C">
        <w:rPr>
          <w:noProof w:val="0"/>
        </w:rPr>
        <w:t xml:space="preserve"> - (1) Procedura de acordare a autorizațiilor menționată la art. 16 alin. (1) și (2) nu depășește 12 luni pentru proiectele privind energia din surse regenerabile din zonele pretabile accelerării proiectelor privind energia din surse regenerabile. Cu toate acestea, în cazul proiectelor privind energia din surse regenerabile offshore, procedura de acordare a autorizațiilor nu depășește doi ani.</w:t>
      </w:r>
    </w:p>
    <w:p w14:paraId="5557F759" w14:textId="77777777" w:rsidR="00204B5E" w:rsidRPr="00721C2C" w:rsidRDefault="00204B5E" w:rsidP="00ED18D4">
      <w:pPr>
        <w:rPr>
          <w:noProof w:val="0"/>
        </w:rPr>
      </w:pPr>
      <w:r w:rsidRPr="00721C2C">
        <w:rPr>
          <w:noProof w:val="0"/>
        </w:rPr>
        <w:t>(2)</w:t>
      </w:r>
      <w:r w:rsidRPr="00721C2C">
        <w:rPr>
          <w:noProof w:val="0"/>
        </w:rPr>
        <w:tab/>
        <w:t xml:space="preserve">Termenele prevăzute la alin. (1) pot fi prelungite cu până la șase luni atunci când acest lucru este justificat în mod corespunzător din motive legate de circumstanțe excepționale. </w:t>
      </w:r>
    </w:p>
    <w:p w14:paraId="1364E5AF" w14:textId="77777777" w:rsidR="00204B5E" w:rsidRPr="00721C2C" w:rsidRDefault="00204B5E" w:rsidP="00ED18D4">
      <w:pPr>
        <w:rPr>
          <w:noProof w:val="0"/>
        </w:rPr>
      </w:pPr>
      <w:r w:rsidRPr="00721C2C">
        <w:rPr>
          <w:noProof w:val="0"/>
        </w:rPr>
        <w:t>(3)</w:t>
      </w:r>
      <w:r w:rsidRPr="00721C2C">
        <w:rPr>
          <w:noProof w:val="0"/>
        </w:rPr>
        <w:tab/>
        <w:t xml:space="preserve">Procedura de acordare a autorizațiilor nu depășește șase luni pentru retehnologizarea centralelor producătoare de energie din surse regenerabile, pentru instalațiile noi cu o capacitate electrică mai mică de 150 kW, pentru instalațiile de stocare a energiei în același amplasament, inclusiv instalațiile de energie electrică și termică, precum și pentru racordarea lor la rețea, atunci când se află în zone pretabile accelerării proiectelor privind energia din surse regenerabile,. Cu toate acestea, în cazul proiectelor privind energia din surse regenerabile offshore, procedura de acordare a autorizațiilor nu depășește 12 luni. </w:t>
      </w:r>
    </w:p>
    <w:p w14:paraId="20CC31E8" w14:textId="77777777" w:rsidR="00204B5E" w:rsidRPr="00721C2C" w:rsidRDefault="00204B5E" w:rsidP="00ED18D4">
      <w:pPr>
        <w:rPr>
          <w:noProof w:val="0"/>
        </w:rPr>
      </w:pPr>
      <w:r w:rsidRPr="00721C2C">
        <w:rPr>
          <w:noProof w:val="0"/>
        </w:rPr>
        <w:t>(4)</w:t>
      </w:r>
      <w:r w:rsidRPr="00721C2C">
        <w:rPr>
          <w:noProof w:val="0"/>
        </w:rPr>
        <w:tab/>
        <w:t xml:space="preserve">Atunci când se justifică în mod corespunzător din motive legate de circumstanțe excepționale, de exemplu din motive imperative de siguranță, când proiectul de retehnologizare are un impact substanțial asupra rețelei sau asupra puterii dimensiunii sau performanței inițiale a instalației, termenul de șase luni prevăzit la alin. (3) poate fi prelungit cu cel mult trei luni, iar termenul de 12 luni prevăzut la alin. (3) poate fi prelungit cu cel mult șase luni. </w:t>
      </w:r>
    </w:p>
    <w:p w14:paraId="54A3681F" w14:textId="77777777" w:rsidR="00204B5E" w:rsidRPr="00721C2C" w:rsidRDefault="00204B5E" w:rsidP="00ED18D4">
      <w:pPr>
        <w:rPr>
          <w:noProof w:val="0"/>
        </w:rPr>
      </w:pPr>
      <w:r w:rsidRPr="00721C2C">
        <w:rPr>
          <w:noProof w:val="0"/>
        </w:rPr>
        <w:t>(5)</w:t>
      </w:r>
      <w:r w:rsidRPr="00721C2C">
        <w:rPr>
          <w:noProof w:val="0"/>
        </w:rPr>
        <w:tab/>
        <w:t>Autoritățile publice cu competențe în procedurile de autorizare informează dezvoltatorul de proiect informează în mod clar cu privire la circumstanțele extraordinare care justifică o prelungire în sensul alin. (2) sau în sensul alin. (4).</w:t>
      </w:r>
    </w:p>
    <w:p w14:paraId="1BDE5B1C" w14:textId="77777777" w:rsidR="00204B5E" w:rsidRPr="00721C2C" w:rsidRDefault="00204B5E" w:rsidP="00ED18D4">
      <w:pPr>
        <w:rPr>
          <w:noProof w:val="0"/>
        </w:rPr>
      </w:pPr>
      <w:r w:rsidRPr="00721C2C">
        <w:rPr>
          <w:noProof w:val="0"/>
        </w:rPr>
        <w:t>(6)</w:t>
      </w:r>
      <w:r w:rsidRPr="00721C2C">
        <w:rPr>
          <w:noProof w:val="0"/>
        </w:rPr>
        <w:tab/>
        <w:t>Fără a aduce atingere alin. (9)-(21), prin derogare de la art. 9 alin. (2) și de la pct. 3 lit. a), b), d), h), i) și pct. 6 lit. c) din Anexa nr. 2 din Legea nr. 292/2018 cu modificările și completările ulterioare, individual sau în coroborare cu pct. 13 lit. (a) din Anexa nr. 2, în ceea ce privește proiectele privind energia din surse regenerabile, noile cereri de acordare a autorizației pentru centrale producătoare de energie din surse regenerabile, inclusiv centrale care combină diferite tipuri de tehnologie în domeniul energiei din surse regenerabile și retehnologizarea centralelor producătoare de energie din surse regenerabile, în zonele desemnate ca zone pretabile accelerării proiectelor privind energia din surse regenerabile pentru tehnologia relevantă și stocarea în același amplasament, precum și racordarea unor astfel de centrale și stocări la rețea pot fi exceptate de la obligația de a efectua o evaluare specifică a impactului asupra mediului în temeiul art. 7 alin. (1) din Legea nr. 292/2018 cu modificările și completările ulterioare, cu condiția ca respectivele proiecte să respecte art. (15^3) alin. (2) lit. b).</w:t>
      </w:r>
    </w:p>
    <w:p w14:paraId="3C59FF96" w14:textId="77777777" w:rsidR="00204B5E" w:rsidRPr="00721C2C" w:rsidRDefault="00204B5E" w:rsidP="00ED18D4">
      <w:pPr>
        <w:rPr>
          <w:noProof w:val="0"/>
        </w:rPr>
      </w:pPr>
      <w:r w:rsidRPr="00721C2C">
        <w:rPr>
          <w:noProof w:val="0"/>
        </w:rPr>
        <w:t>(7)</w:t>
      </w:r>
      <w:r w:rsidRPr="00721C2C">
        <w:rPr>
          <w:noProof w:val="0"/>
        </w:rPr>
        <w:tab/>
        <w:t xml:space="preserve">Derogarea nu se aplică proiectelor care ar putea avea efecte semnificative asupra mediului într-un alt stat membru sau în cazul în care un stat membru care ar putea fi afectat în mod </w:t>
      </w:r>
      <w:r w:rsidRPr="00721C2C">
        <w:rPr>
          <w:noProof w:val="0"/>
        </w:rPr>
        <w:lastRenderedPageBreak/>
        <w:t xml:space="preserve">semnificativ solicită acest lucru, astfel cum se prevede la articolul 17 din Legea nr. 292/2018, cu modificările și completările ulterioare. </w:t>
      </w:r>
    </w:p>
    <w:p w14:paraId="63AF0318" w14:textId="77777777" w:rsidR="00204B5E" w:rsidRPr="00721C2C" w:rsidRDefault="00204B5E" w:rsidP="00ED18D4">
      <w:pPr>
        <w:rPr>
          <w:noProof w:val="0"/>
        </w:rPr>
      </w:pPr>
      <w:r w:rsidRPr="00721C2C">
        <w:rPr>
          <w:noProof w:val="0"/>
        </w:rPr>
        <w:t>(8)</w:t>
      </w:r>
      <w:r w:rsidRPr="00721C2C">
        <w:rPr>
          <w:noProof w:val="0"/>
        </w:rPr>
        <w:tab/>
        <w:t>Prin derogare de la articolul 31 din OUG nr. 57/2007, cu modificările și completările ulterioare, centralele producătoare de energie din surse regenerabile menționate la alin. (1) nu fac obiectul unei evaluări a efectelor lor asupra siturilor Natura 2000, cu condiția ca respectivele proiecte privind energia din surse regenerabile să respecte normele și măsurile stabilite în conformitate cu art. (15^3) alin. (2) lit. b).</w:t>
      </w:r>
    </w:p>
    <w:p w14:paraId="19687073" w14:textId="3238350A" w:rsidR="00204B5E" w:rsidRPr="00721C2C" w:rsidRDefault="00204B5E" w:rsidP="00ED18D4">
      <w:pPr>
        <w:rPr>
          <w:noProof w:val="0"/>
        </w:rPr>
      </w:pPr>
      <w:r w:rsidRPr="00721C2C">
        <w:rPr>
          <w:noProof w:val="0"/>
        </w:rPr>
        <w:t xml:space="preserve"> (9)</w:t>
      </w:r>
      <w:r w:rsidRPr="00721C2C">
        <w:rPr>
          <w:noProof w:val="0"/>
        </w:rPr>
        <w:tab/>
        <w:t xml:space="preserve">MMAP efectuează o procedură de examinare a cererilor menționate la alin. (6). </w:t>
      </w:r>
    </w:p>
    <w:p w14:paraId="56AEA818" w14:textId="15EAD312" w:rsidR="00204B5E" w:rsidRPr="00721C2C" w:rsidRDefault="00204B5E" w:rsidP="00ED18D4">
      <w:pPr>
        <w:rPr>
          <w:noProof w:val="0"/>
        </w:rPr>
      </w:pPr>
      <w:r w:rsidRPr="00721C2C">
        <w:rPr>
          <w:noProof w:val="0"/>
        </w:rPr>
        <w:t>(10)</w:t>
      </w:r>
      <w:r w:rsidRPr="00721C2C">
        <w:rPr>
          <w:noProof w:val="0"/>
        </w:rPr>
        <w:tab/>
      </w:r>
      <w:r w:rsidR="00D23C35" w:rsidRPr="00721C2C">
        <w:rPr>
          <w:noProof w:val="0"/>
        </w:rPr>
        <w:t xml:space="preserve"> </w:t>
      </w:r>
      <w:r w:rsidRPr="00721C2C">
        <w:rPr>
          <w:noProof w:val="0"/>
        </w:rPr>
        <w:t>Procedura de examinare prevăzută la alin. (9):</w:t>
      </w:r>
    </w:p>
    <w:p w14:paraId="7E6318B2" w14:textId="77777777" w:rsidR="006D09E0" w:rsidRPr="00721C2C" w:rsidRDefault="00204B5E" w:rsidP="00ED18D4">
      <w:pPr>
        <w:pStyle w:val="ListParagraph"/>
        <w:numPr>
          <w:ilvl w:val="0"/>
          <w:numId w:val="163"/>
        </w:numPr>
        <w:rPr>
          <w:noProof w:val="0"/>
        </w:rPr>
      </w:pPr>
      <w:r w:rsidRPr="00721C2C">
        <w:rPr>
          <w:noProof w:val="0"/>
        </w:rPr>
        <w:t xml:space="preserve">are scopul de a identifica dacă este foarte probabil ca vreunul dintre proiectele privind energia din surse regenerabile să genereze efecte negative neprevăzute semnificative, având în vedere sensibilitatea ecologică a zonei geografice în care sunt situate, care nu au fost identificate în timpul evaluării de mediu a planurilor de desemnare a zonelor pretabile accelerării proiectelor privind energia din surse regenerabile menționate la art. (15^3) alin. (1), efectuate în temeiul Legii nr. 292/2018, cu modificările și completările ulterioare, și, după caz, al OUG nr. 57/2007, cu modificările și completările ulterioare. </w:t>
      </w:r>
    </w:p>
    <w:p w14:paraId="3B766302" w14:textId="07FC8ABD" w:rsidR="00204B5E" w:rsidRPr="00721C2C" w:rsidRDefault="00204B5E" w:rsidP="00ED18D4">
      <w:pPr>
        <w:pStyle w:val="ListParagraph"/>
        <w:numPr>
          <w:ilvl w:val="0"/>
          <w:numId w:val="163"/>
        </w:numPr>
        <w:rPr>
          <w:noProof w:val="0"/>
        </w:rPr>
      </w:pPr>
      <w:r w:rsidRPr="00721C2C">
        <w:rPr>
          <w:noProof w:val="0"/>
        </w:rPr>
        <w:t>urmărește să identifice dacă vreunul dintre aceste proiecte privind energia din surse regenerabile intră în domeniul de aplicare a art. 17 din Legea nr. 292/2018, cu modificările și completările ulterioare, din cauza probabilității ca acesta să genereze efecte semnificative asupra mediului într-un alt stat membru sau ca urmare a solicitării unui stat membru care ar putea fi afectat în mod semnificativ.</w:t>
      </w:r>
    </w:p>
    <w:p w14:paraId="55BABF4E" w14:textId="3FD15A29" w:rsidR="00204B5E" w:rsidRPr="00721C2C" w:rsidRDefault="00204B5E" w:rsidP="00ED18D4">
      <w:pPr>
        <w:rPr>
          <w:noProof w:val="0"/>
        </w:rPr>
      </w:pPr>
      <w:r w:rsidRPr="00721C2C">
        <w:rPr>
          <w:noProof w:val="0"/>
        </w:rPr>
        <w:t>(11)</w:t>
      </w:r>
      <w:r w:rsidRPr="00721C2C">
        <w:rPr>
          <w:noProof w:val="0"/>
        </w:rPr>
        <w:tab/>
      </w:r>
      <w:r w:rsidR="00D23C35" w:rsidRPr="00721C2C">
        <w:rPr>
          <w:noProof w:val="0"/>
        </w:rPr>
        <w:t xml:space="preserve"> </w:t>
      </w:r>
      <w:r w:rsidRPr="00721C2C">
        <w:rPr>
          <w:noProof w:val="0"/>
        </w:rPr>
        <w:t>În scopul procedurii de examinare menționată la alin. (9):</w:t>
      </w:r>
    </w:p>
    <w:p w14:paraId="7849F723" w14:textId="5D178A4B" w:rsidR="00204B5E" w:rsidRPr="00721C2C" w:rsidRDefault="00204B5E" w:rsidP="00ED18D4">
      <w:pPr>
        <w:pStyle w:val="ListParagraph"/>
        <w:numPr>
          <w:ilvl w:val="0"/>
          <w:numId w:val="164"/>
        </w:numPr>
        <w:rPr>
          <w:noProof w:val="0"/>
        </w:rPr>
      </w:pPr>
      <w:r w:rsidRPr="00721C2C">
        <w:rPr>
          <w:noProof w:val="0"/>
        </w:rPr>
        <w:t xml:space="preserve">dezvoltatorul de proiect furnizează </w:t>
      </w:r>
      <w:r w:rsidR="00D23C35" w:rsidRPr="00721C2C">
        <w:rPr>
          <w:noProof w:val="0"/>
        </w:rPr>
        <w:t xml:space="preserve">MMAP </w:t>
      </w:r>
      <w:r w:rsidRPr="00721C2C">
        <w:rPr>
          <w:noProof w:val="0"/>
        </w:rPr>
        <w:t xml:space="preserve">informații cu privire la caracteristicile proiectului de energie din surse regenerabile, la conformitatea acestuia cu normele și măsurile identificate în temeiul art. (15^3) alin. (2) lit. b), pentru zona pretabilă accelerării proiectelor de producere a energiei din surse regenerabile specifică, la eventualele măsuri suplimentare adoptate de către dezvoltatorul de proiect și la modul în care măsurile respective abordează impactul asupra mediului. </w:t>
      </w:r>
    </w:p>
    <w:p w14:paraId="489AF7D2" w14:textId="63C11E5D" w:rsidR="00204B5E" w:rsidRPr="00721C2C" w:rsidRDefault="00D23C35" w:rsidP="00ED18D4">
      <w:pPr>
        <w:pStyle w:val="ListParagraph"/>
        <w:numPr>
          <w:ilvl w:val="0"/>
          <w:numId w:val="164"/>
        </w:numPr>
        <w:rPr>
          <w:noProof w:val="0"/>
        </w:rPr>
      </w:pPr>
      <w:r w:rsidRPr="00721C2C">
        <w:rPr>
          <w:noProof w:val="0"/>
        </w:rPr>
        <w:t>MMAP</w:t>
      </w:r>
      <w:r w:rsidR="00204B5E" w:rsidRPr="00721C2C">
        <w:rPr>
          <w:noProof w:val="0"/>
        </w:rPr>
        <w:t xml:space="preserve"> poate solicita dezvoltatorului de proiect să furnizeze informații suplimentare disponibile. </w:t>
      </w:r>
    </w:p>
    <w:p w14:paraId="7C2201BC" w14:textId="5D7CC051" w:rsidR="00204B5E" w:rsidRPr="00721C2C" w:rsidRDefault="00204B5E" w:rsidP="00ED18D4">
      <w:pPr>
        <w:rPr>
          <w:noProof w:val="0"/>
        </w:rPr>
      </w:pPr>
      <w:r w:rsidRPr="00721C2C">
        <w:rPr>
          <w:noProof w:val="0"/>
        </w:rPr>
        <w:t>(12)</w:t>
      </w:r>
      <w:r w:rsidRPr="00721C2C">
        <w:rPr>
          <w:noProof w:val="0"/>
        </w:rPr>
        <w:tab/>
      </w:r>
      <w:r w:rsidR="00D23C35" w:rsidRPr="00721C2C">
        <w:rPr>
          <w:noProof w:val="0"/>
        </w:rPr>
        <w:t xml:space="preserve"> </w:t>
      </w:r>
      <w:r w:rsidRPr="00721C2C">
        <w:rPr>
          <w:noProof w:val="0"/>
        </w:rPr>
        <w:t xml:space="preserve">Procedura de examinare referitoare la cereri de acordare a autorizațiilor pentru centrale noi producătoare de energie din surse regenerabile se finalizează în termen de 45 de zile de la data depunerii informațiilor suficiente necesare în acest scop. </w:t>
      </w:r>
    </w:p>
    <w:p w14:paraId="3FA99051" w14:textId="3CA4B973" w:rsidR="00204B5E" w:rsidRPr="00721C2C" w:rsidRDefault="00204B5E" w:rsidP="00ED18D4">
      <w:pPr>
        <w:rPr>
          <w:noProof w:val="0"/>
        </w:rPr>
      </w:pPr>
      <w:r w:rsidRPr="00721C2C">
        <w:rPr>
          <w:noProof w:val="0"/>
        </w:rPr>
        <w:t>(13)</w:t>
      </w:r>
      <w:r w:rsidR="00D23C35" w:rsidRPr="00721C2C">
        <w:rPr>
          <w:noProof w:val="0"/>
        </w:rPr>
        <w:t xml:space="preserve"> </w:t>
      </w:r>
      <w:r w:rsidRPr="00721C2C">
        <w:rPr>
          <w:noProof w:val="0"/>
        </w:rPr>
        <w:t>Prin excepție de la prevederile alin. (12), în cazul cererilor pentru instalații cu o capacitate electrică mai mică de 150 kW și al cererilor noi de retehnologizare a centralelor producătoare de energie din surse regenerabile, procedura de examinare se finalizează în termen de 30 de zile.</w:t>
      </w:r>
    </w:p>
    <w:p w14:paraId="4602662A" w14:textId="166B38F0" w:rsidR="00204B5E" w:rsidRPr="00721C2C" w:rsidRDefault="00204B5E" w:rsidP="00ED18D4">
      <w:pPr>
        <w:rPr>
          <w:noProof w:val="0"/>
        </w:rPr>
      </w:pPr>
      <w:r w:rsidRPr="00721C2C">
        <w:rPr>
          <w:noProof w:val="0"/>
        </w:rPr>
        <w:t>(14)</w:t>
      </w:r>
      <w:r w:rsidRPr="00721C2C">
        <w:rPr>
          <w:noProof w:val="0"/>
        </w:rPr>
        <w:tab/>
      </w:r>
      <w:r w:rsidR="00D23C35" w:rsidRPr="00721C2C">
        <w:rPr>
          <w:noProof w:val="0"/>
        </w:rPr>
        <w:t xml:space="preserve"> </w:t>
      </w:r>
      <w:r w:rsidRPr="00721C2C">
        <w:rPr>
          <w:noProof w:val="0"/>
        </w:rPr>
        <w:t xml:space="preserve">În urma procedurii de examinare, autoritățile competente de mediu autorizează cererile menționate alin. (6) fără obținerea unui nou act de reglementare de la autoritatea competentă pentru protecția mediului. </w:t>
      </w:r>
    </w:p>
    <w:p w14:paraId="65164155" w14:textId="77777777" w:rsidR="00204B5E" w:rsidRPr="00721C2C" w:rsidRDefault="00204B5E" w:rsidP="00ED18D4">
      <w:pPr>
        <w:rPr>
          <w:noProof w:val="0"/>
        </w:rPr>
      </w:pPr>
      <w:r w:rsidRPr="00721C2C">
        <w:rPr>
          <w:noProof w:val="0"/>
        </w:rPr>
        <w:lastRenderedPageBreak/>
        <w:t>(15)</w:t>
      </w:r>
      <w:r w:rsidRPr="00721C2C">
        <w:rPr>
          <w:noProof w:val="0"/>
        </w:rPr>
        <w:tab/>
        <w:t xml:space="preserve">Prin excepție de la prevederile alin. (14), autoritatea competentă pentru protecția mediului poate adopta o decizie administrativă, stabilind motive corespunzătoare pe baza unor dovezi clare, prin care decide că proiectul este foarte probabil să aibă efecte negative neprevăzute semnificative, având în vedere sensibilitatea ecologică a zonei geografice în care este situat , care nu pot fi atenuate prin măsurile identificate în planurile de desemnare a zonelor pretabile accelerării proiectelor sau propuse de dezvoltatorul de proiect. </w:t>
      </w:r>
    </w:p>
    <w:p w14:paraId="21D53F2F" w14:textId="77777777" w:rsidR="00204B5E" w:rsidRPr="00721C2C" w:rsidRDefault="00204B5E" w:rsidP="00ED18D4">
      <w:pPr>
        <w:rPr>
          <w:noProof w:val="0"/>
        </w:rPr>
      </w:pPr>
      <w:r w:rsidRPr="00721C2C">
        <w:rPr>
          <w:noProof w:val="0"/>
        </w:rPr>
        <w:t>(16)</w:t>
      </w:r>
      <w:r w:rsidRPr="00721C2C">
        <w:rPr>
          <w:noProof w:val="0"/>
        </w:rPr>
        <w:tab/>
        <w:t xml:space="preserve">Autoritatea competentă pentru protecția mediului pune la dispoziția publicului decizia administrativă menționată la alin. (15). </w:t>
      </w:r>
    </w:p>
    <w:p w14:paraId="0CE5B7BB" w14:textId="71441272" w:rsidR="00204B5E" w:rsidRPr="00721C2C" w:rsidRDefault="00204B5E" w:rsidP="00ED18D4">
      <w:pPr>
        <w:rPr>
          <w:noProof w:val="0"/>
        </w:rPr>
      </w:pPr>
      <w:r w:rsidRPr="00721C2C">
        <w:rPr>
          <w:noProof w:val="0"/>
        </w:rPr>
        <w:t>(17)</w:t>
      </w:r>
      <w:r w:rsidRPr="00721C2C">
        <w:rPr>
          <w:noProof w:val="0"/>
        </w:rPr>
        <w:tab/>
      </w:r>
      <w:r w:rsidR="00D23C35" w:rsidRPr="00721C2C">
        <w:rPr>
          <w:noProof w:val="0"/>
        </w:rPr>
        <w:t xml:space="preserve"> </w:t>
      </w:r>
      <w:r w:rsidRPr="00721C2C">
        <w:rPr>
          <w:noProof w:val="0"/>
        </w:rPr>
        <w:t xml:space="preserve">În sensul alin. (15), astfel de proiecte privind energia din surse regenerabile fac obiectul unei evaluări a impactului asupra mediului în temeiul Legii nr. 292/2018, cu modificările și completările ulterioare, și, dacă este cazul, al unei evaluări în temeiul OUG nr. 57/2007, cu modificările și completările ulterioare, care se efectuează în termen de șase luni de la decizia administrativă care identifică probabilitatea ridicată a unor efecte negative neprevăzute semnificative. </w:t>
      </w:r>
    </w:p>
    <w:p w14:paraId="63C6499D" w14:textId="5B8488D6" w:rsidR="00204B5E" w:rsidRPr="00721C2C" w:rsidRDefault="00204B5E" w:rsidP="00ED18D4">
      <w:pPr>
        <w:rPr>
          <w:noProof w:val="0"/>
        </w:rPr>
      </w:pPr>
      <w:r w:rsidRPr="00721C2C">
        <w:rPr>
          <w:noProof w:val="0"/>
        </w:rPr>
        <w:t>(18)</w:t>
      </w:r>
      <w:r w:rsidRPr="00721C2C">
        <w:rPr>
          <w:noProof w:val="0"/>
        </w:rPr>
        <w:tab/>
      </w:r>
      <w:r w:rsidR="00D23C35" w:rsidRPr="00721C2C">
        <w:rPr>
          <w:noProof w:val="0"/>
        </w:rPr>
        <w:t xml:space="preserve"> </w:t>
      </w:r>
      <w:r w:rsidRPr="00721C2C">
        <w:rPr>
          <w:noProof w:val="0"/>
        </w:rPr>
        <w:t xml:space="preserve">Termenul prevăzut la alin. (17) poate fi prelungit cu cel mult șase luni, dacă acest lucru este justificat în mod corespunzător din motive legate de circumstanțe excepționale. </w:t>
      </w:r>
    </w:p>
    <w:p w14:paraId="4902ED38" w14:textId="06826977" w:rsidR="00204B5E" w:rsidRPr="00721C2C" w:rsidRDefault="00204B5E" w:rsidP="00ED18D4">
      <w:pPr>
        <w:rPr>
          <w:noProof w:val="0"/>
        </w:rPr>
      </w:pPr>
      <w:r w:rsidRPr="00721C2C">
        <w:rPr>
          <w:noProof w:val="0"/>
        </w:rPr>
        <w:t>(19)</w:t>
      </w:r>
      <w:r w:rsidRPr="00721C2C">
        <w:rPr>
          <w:noProof w:val="0"/>
        </w:rPr>
        <w:tab/>
      </w:r>
      <w:r w:rsidR="00D23C35" w:rsidRPr="00721C2C">
        <w:rPr>
          <w:noProof w:val="0"/>
        </w:rPr>
        <w:t xml:space="preserve"> </w:t>
      </w:r>
      <w:r w:rsidRPr="00721C2C">
        <w:rPr>
          <w:noProof w:val="0"/>
        </w:rPr>
        <w:t xml:space="preserve">În cazul unor circumstanțe justificate, inclusiv în cazul în care este necesar pentru a accelera implementarea energiei din surse regenerabile în vederea realizării obiectivelor în materie de climă și energie din surse regenerabile, Ministerul Mediului, Apelor și Pădurilor poate excepta proiectele eoliene și solare fotovoltaice de la astfel de evaluări. </w:t>
      </w:r>
    </w:p>
    <w:p w14:paraId="10534760" w14:textId="14FCAA17" w:rsidR="00204B5E" w:rsidRPr="00721C2C" w:rsidRDefault="00204B5E" w:rsidP="00ED18D4">
      <w:pPr>
        <w:rPr>
          <w:noProof w:val="0"/>
        </w:rPr>
      </w:pPr>
      <w:r w:rsidRPr="00721C2C">
        <w:rPr>
          <w:noProof w:val="0"/>
        </w:rPr>
        <w:t>(20)</w:t>
      </w:r>
      <w:r w:rsidR="00D23C35" w:rsidRPr="00721C2C">
        <w:rPr>
          <w:noProof w:val="0"/>
        </w:rPr>
        <w:t xml:space="preserve"> </w:t>
      </w:r>
      <w:r w:rsidRPr="00721C2C">
        <w:rPr>
          <w:noProof w:val="0"/>
        </w:rPr>
        <w:t xml:space="preserve">În cazul în care </w:t>
      </w:r>
      <w:r w:rsidR="00D23C35" w:rsidRPr="00721C2C">
        <w:rPr>
          <w:noProof w:val="0"/>
        </w:rPr>
        <w:t xml:space="preserve">MMAP </w:t>
      </w:r>
      <w:r w:rsidRPr="00721C2C">
        <w:rPr>
          <w:noProof w:val="0"/>
        </w:rPr>
        <w:t xml:space="preserve">exceptează proiectele eoliene și solare fotovoltaice de la evaluările respective, operatorul trebuie să adopte măsuri proporționale de atenuare sau, dacă astfel de măsuri de atenuare nu sunt disponibile, măsuri compensatorii, care, în cazul în care alte măsuri compensatorii proporționale nu sunt disponibile, pot lua forma unei compensații monetare, pentru a aborda orice efecte negative. </w:t>
      </w:r>
    </w:p>
    <w:p w14:paraId="65E5F308" w14:textId="3C15EF8D" w:rsidR="00204B5E" w:rsidRPr="00721C2C" w:rsidRDefault="00204B5E" w:rsidP="00ED18D4">
      <w:pPr>
        <w:rPr>
          <w:noProof w:val="0"/>
        </w:rPr>
      </w:pPr>
      <w:r w:rsidRPr="00721C2C">
        <w:rPr>
          <w:noProof w:val="0"/>
        </w:rPr>
        <w:t>(21)</w:t>
      </w:r>
      <w:r w:rsidRPr="00721C2C">
        <w:rPr>
          <w:noProof w:val="0"/>
        </w:rPr>
        <w:tab/>
      </w:r>
      <w:r w:rsidR="00D23C35" w:rsidRPr="00721C2C">
        <w:rPr>
          <w:noProof w:val="0"/>
        </w:rPr>
        <w:t xml:space="preserve"> </w:t>
      </w:r>
      <w:r w:rsidRPr="00721C2C">
        <w:rPr>
          <w:noProof w:val="0"/>
        </w:rPr>
        <w:t>În cazul în care aceste efecte negative au un impact asupra protecției speciilor, operatorul plătește o compensație financiară pentru programele de protecție a speciilor pe durata de funcționare a centralei producătoare de energie din surse regenerabile, pentru a asigura sau a îmbunătăți starea de conservare a speciilor afectate.</w:t>
      </w:r>
    </w:p>
    <w:p w14:paraId="1BC18CBD" w14:textId="3093BABB" w:rsidR="00204B5E" w:rsidRPr="00721C2C" w:rsidRDefault="00204B5E" w:rsidP="00ED18D4">
      <w:pPr>
        <w:rPr>
          <w:noProof w:val="0"/>
        </w:rPr>
      </w:pPr>
      <w:r w:rsidRPr="00721C2C">
        <w:rPr>
          <w:noProof w:val="0"/>
        </w:rPr>
        <w:t>(22)</w:t>
      </w:r>
      <w:r w:rsidRPr="00721C2C">
        <w:rPr>
          <w:noProof w:val="0"/>
        </w:rPr>
        <w:tab/>
      </w:r>
      <w:r w:rsidR="00D23C35" w:rsidRPr="00721C2C">
        <w:rPr>
          <w:noProof w:val="0"/>
        </w:rPr>
        <w:t xml:space="preserve"> </w:t>
      </w:r>
      <w:r w:rsidRPr="00721C2C">
        <w:rPr>
          <w:noProof w:val="0"/>
        </w:rPr>
        <w:t xml:space="preserve">În procedura de acordare a autorizațiilor menționată la alin. (1)-(4), Ministerul de resort se asigură că lipsa unui răspuns din partea autorităților competente relevante în termenul stabilit are drept consecință că etapele administrative intermediare specifice sunt considerate a fi aprobate, cu excepția cazului în care proiectul privind energia din surse regenerabile specific face obiectul unei evaluări a impactului asupra mediului în temeiul alin. (14)-(21) sau a cazului în care principiul aprobării administrative tacite nu există în sistemul juridic național. </w:t>
      </w:r>
    </w:p>
    <w:p w14:paraId="6B40E235" w14:textId="03FC6FA6" w:rsidR="00204B5E" w:rsidRPr="00721C2C" w:rsidRDefault="00204B5E" w:rsidP="00ED18D4">
      <w:pPr>
        <w:rPr>
          <w:noProof w:val="0"/>
        </w:rPr>
      </w:pPr>
      <w:r w:rsidRPr="00721C2C">
        <w:rPr>
          <w:noProof w:val="0"/>
        </w:rPr>
        <w:t>(23)</w:t>
      </w:r>
      <w:r w:rsidR="00D23C35" w:rsidRPr="00721C2C">
        <w:rPr>
          <w:noProof w:val="0"/>
        </w:rPr>
        <w:t xml:space="preserve"> </w:t>
      </w:r>
      <w:r w:rsidRPr="00721C2C">
        <w:rPr>
          <w:noProof w:val="0"/>
        </w:rPr>
        <w:t xml:space="preserve">Alin. (22) nu se aplică deciziilor finale privind rezultatul procedurii de acordare a autorizației, care trebuie să fie explicite. </w:t>
      </w:r>
    </w:p>
    <w:p w14:paraId="33330A42" w14:textId="0653ED9A" w:rsidR="00204B5E" w:rsidRPr="00721C2C" w:rsidRDefault="00204B5E" w:rsidP="00ED18D4">
      <w:pPr>
        <w:rPr>
          <w:noProof w:val="0"/>
        </w:rPr>
      </w:pPr>
      <w:r w:rsidRPr="00721C2C">
        <w:rPr>
          <w:noProof w:val="0"/>
        </w:rPr>
        <w:t>(24)</w:t>
      </w:r>
      <w:r w:rsidRPr="00721C2C">
        <w:rPr>
          <w:noProof w:val="0"/>
        </w:rPr>
        <w:tab/>
      </w:r>
      <w:r w:rsidR="00D23C35" w:rsidRPr="00721C2C">
        <w:rPr>
          <w:noProof w:val="0"/>
        </w:rPr>
        <w:t xml:space="preserve"> </w:t>
      </w:r>
      <w:r w:rsidRPr="00721C2C">
        <w:rPr>
          <w:noProof w:val="0"/>
        </w:rPr>
        <w:t>Autoritățile publice cu competențe în procedurile de autorizare pun la dispoziția publicului toate deciziile în sensul alin. (22) și (23).</w:t>
      </w:r>
    </w:p>
    <w:p w14:paraId="29452E5C" w14:textId="1B50D0D3" w:rsidR="00204B5E" w:rsidRPr="00721C2C" w:rsidRDefault="00D23C35" w:rsidP="00ED18D4">
      <w:pPr>
        <w:rPr>
          <w:noProof w:val="0"/>
        </w:rPr>
      </w:pPr>
      <w:r w:rsidRPr="00721C2C">
        <w:rPr>
          <w:b/>
          <w:bCs/>
          <w:noProof w:val="0"/>
        </w:rPr>
        <w:t>Art.</w:t>
      </w:r>
      <w:r w:rsidR="00204B5E" w:rsidRPr="00721C2C">
        <w:rPr>
          <w:b/>
          <w:bCs/>
          <w:noProof w:val="0"/>
        </w:rPr>
        <w:t xml:space="preserve"> 16^2</w:t>
      </w:r>
      <w:r w:rsidR="00204B5E" w:rsidRPr="00721C2C">
        <w:rPr>
          <w:noProof w:val="0"/>
        </w:rPr>
        <w:t xml:space="preserve"> </w:t>
      </w:r>
      <w:r w:rsidRPr="00721C2C">
        <w:rPr>
          <w:noProof w:val="0"/>
        </w:rPr>
        <w:t xml:space="preserve">- </w:t>
      </w:r>
      <w:r w:rsidR="00204B5E" w:rsidRPr="00721C2C">
        <w:rPr>
          <w:noProof w:val="0"/>
        </w:rPr>
        <w:t>(1)</w:t>
      </w:r>
      <w:r w:rsidR="00B91F38" w:rsidRPr="00721C2C">
        <w:rPr>
          <w:noProof w:val="0"/>
        </w:rPr>
        <w:t xml:space="preserve"> </w:t>
      </w:r>
      <w:r w:rsidR="00204B5E" w:rsidRPr="00721C2C">
        <w:rPr>
          <w:noProof w:val="0"/>
        </w:rPr>
        <w:t xml:space="preserve">Procesul de acordare a autorizațiilor menționat la art. 16 alin. (1) și (2): </w:t>
      </w:r>
    </w:p>
    <w:p w14:paraId="5E104388" w14:textId="66B49735" w:rsidR="00204B5E" w:rsidRPr="00721C2C" w:rsidRDefault="00204B5E" w:rsidP="00ED18D4">
      <w:pPr>
        <w:pStyle w:val="ListParagraph"/>
        <w:numPr>
          <w:ilvl w:val="0"/>
          <w:numId w:val="165"/>
        </w:numPr>
        <w:rPr>
          <w:noProof w:val="0"/>
        </w:rPr>
      </w:pPr>
      <w:r w:rsidRPr="00721C2C">
        <w:rPr>
          <w:noProof w:val="0"/>
        </w:rPr>
        <w:lastRenderedPageBreak/>
        <w:t>nu depășește doi ani pentru proiectele privind energia din surse regenerabile situate în afara zonelor pretabile accelerării proiectelor privind energia din surse regenerabile onshore.</w:t>
      </w:r>
    </w:p>
    <w:p w14:paraId="30FB9684" w14:textId="4C253A83" w:rsidR="00204B5E" w:rsidRPr="00721C2C" w:rsidRDefault="00204B5E" w:rsidP="00ED18D4">
      <w:pPr>
        <w:pStyle w:val="ListParagraph"/>
        <w:numPr>
          <w:ilvl w:val="0"/>
          <w:numId w:val="165"/>
        </w:numPr>
        <w:rPr>
          <w:noProof w:val="0"/>
        </w:rPr>
      </w:pPr>
      <w:r w:rsidRPr="00721C2C">
        <w:rPr>
          <w:noProof w:val="0"/>
        </w:rPr>
        <w:t>nu depășește trei ani pentru proiectele privind energia din surse regenerabile situate în afara zonelor pretabile accelerării proiectelor privind energia din surse regenerabile offshore.</w:t>
      </w:r>
    </w:p>
    <w:p w14:paraId="3ECA2530" w14:textId="77777777" w:rsidR="00204B5E" w:rsidRPr="00721C2C" w:rsidRDefault="00204B5E" w:rsidP="00ED18D4">
      <w:pPr>
        <w:rPr>
          <w:noProof w:val="0"/>
        </w:rPr>
      </w:pPr>
      <w:r w:rsidRPr="00721C2C">
        <w:rPr>
          <w:noProof w:val="0"/>
        </w:rPr>
        <w:t>(2)</w:t>
      </w:r>
      <w:r w:rsidRPr="00721C2C">
        <w:rPr>
          <w:noProof w:val="0"/>
        </w:rPr>
        <w:tab/>
        <w:t xml:space="preserve">Termenele prevăzute la alin. (1) pot fi prelungite cu cel mult șase luni, dacă acest lucru este justificat în mod corespunzător din motive legate de circumstanțe excepționale, inclusiv atunci când acestea necesită perioade prelungite în scopul unei evaluări în temeiul legislatiei în domeniul mediului.   </w:t>
      </w:r>
    </w:p>
    <w:p w14:paraId="6C01771B" w14:textId="77777777" w:rsidR="00204B5E" w:rsidRPr="00721C2C" w:rsidRDefault="00204B5E" w:rsidP="00ED18D4">
      <w:pPr>
        <w:rPr>
          <w:noProof w:val="0"/>
        </w:rPr>
      </w:pPr>
      <w:r w:rsidRPr="00721C2C">
        <w:rPr>
          <w:noProof w:val="0"/>
        </w:rPr>
        <w:t>(3)</w:t>
      </w:r>
      <w:r w:rsidRPr="00721C2C">
        <w:rPr>
          <w:noProof w:val="0"/>
        </w:rPr>
        <w:tab/>
        <w:t>Autoritățile publice cu competențe în procedurile de autorizare informează dezvoltatorul de proiect cu privire la circumstanțele extraordinare care justifică o prelungire în sensul alin. (2).</w:t>
      </w:r>
    </w:p>
    <w:p w14:paraId="1EBE013E" w14:textId="77777777" w:rsidR="00204B5E" w:rsidRPr="00721C2C" w:rsidRDefault="00204B5E" w:rsidP="00ED18D4">
      <w:pPr>
        <w:rPr>
          <w:noProof w:val="0"/>
        </w:rPr>
      </w:pPr>
      <w:r w:rsidRPr="00721C2C">
        <w:rPr>
          <w:noProof w:val="0"/>
        </w:rPr>
        <w:t>(4)</w:t>
      </w:r>
      <w:r w:rsidRPr="00721C2C">
        <w:rPr>
          <w:noProof w:val="0"/>
        </w:rPr>
        <w:tab/>
        <w:t xml:space="preserve">În cazul în care este necesară o evaluare a impactului asupra mediului în temeiul Legii nr. 292/2018 sau OUG nr. 57/2007, cu modificările și completările ulterioare, aceasta se efectuează în cadrul unei proceduri unice care combină toate evaluările relevante pentru un anumit proiect privind energia din surse regenerabile. În cazul în care este necesară o astfel de evaluare a impactului asupra mediului, MMAP, ținând seama de informațiile furnizate de dezvoltatorul de proiect, emite un îndrumar privind domeniul de aplicare și nivelul de detaliu al informațiilor care trebuie incluse de dezvoltatorul de proiect în raportul de evaluare a impactului asupra mediului, al cărui domeniu de aplicare nu se extinde ulterior. </w:t>
      </w:r>
    </w:p>
    <w:p w14:paraId="7A4262DD" w14:textId="77777777" w:rsidR="00204B5E" w:rsidRPr="00721C2C" w:rsidRDefault="00204B5E" w:rsidP="00ED18D4">
      <w:pPr>
        <w:rPr>
          <w:noProof w:val="0"/>
        </w:rPr>
      </w:pPr>
      <w:r w:rsidRPr="00721C2C">
        <w:rPr>
          <w:noProof w:val="0"/>
        </w:rPr>
        <w:t>(5)</w:t>
      </w:r>
      <w:r w:rsidRPr="00721C2C">
        <w:rPr>
          <w:noProof w:val="0"/>
        </w:rPr>
        <w:tab/>
        <w:t>În cazul în care un proiect privind energia din surse regenerabile a adoptat măsuri necesare de atenuare, eventuala ucidere sau perturbare a speciilor protejate în temeiul art. 31 și 33 din OUG nr. 57/2007, cu completările și modificările ulterioare, nu este considerată a fi deliberată.</w:t>
      </w:r>
    </w:p>
    <w:p w14:paraId="5FD7B317" w14:textId="77777777" w:rsidR="00204B5E" w:rsidRPr="00721C2C" w:rsidRDefault="00204B5E" w:rsidP="00ED18D4">
      <w:pPr>
        <w:rPr>
          <w:noProof w:val="0"/>
        </w:rPr>
      </w:pPr>
      <w:r w:rsidRPr="00721C2C">
        <w:rPr>
          <w:noProof w:val="0"/>
        </w:rPr>
        <w:t>(6)</w:t>
      </w:r>
      <w:r w:rsidRPr="00721C2C">
        <w:rPr>
          <w:noProof w:val="0"/>
        </w:rPr>
        <w:tab/>
        <w:t xml:space="preserve"> În cazul în care noile măsuri de atenuare menite să prevină pe cât posibil uciderea sau perturbarea speciilor protejate în temeiul OUG nr. 57/2007, cu modificările și completările ulterioare, sau orice alt impact asupra mediului nu au fost testate pe scară largă în ceea ce privește eficacitatea lor,  Ministerul Mediului, Apelor și Pădurilor poate permite utilizarea lor pentru unul sau mai multe proiecte-pilot pentru o perioadă determinată, cu condiția ca eficacitatea acestor măsuri de atenuare să fie monitorizată îndeaproape și să fie luate imediat măsuri adecvate, în cazul în care respectivele măsuri de atenuare nu se dovedesc a fi eficace. </w:t>
      </w:r>
    </w:p>
    <w:p w14:paraId="6BE0C7C2" w14:textId="77777777" w:rsidR="00204B5E" w:rsidRPr="00721C2C" w:rsidRDefault="00204B5E" w:rsidP="00ED18D4">
      <w:pPr>
        <w:rPr>
          <w:noProof w:val="0"/>
        </w:rPr>
      </w:pPr>
      <w:r w:rsidRPr="00721C2C">
        <w:rPr>
          <w:noProof w:val="0"/>
        </w:rPr>
        <w:t>(7)</w:t>
      </w:r>
      <w:r w:rsidRPr="00721C2C">
        <w:rPr>
          <w:noProof w:val="0"/>
        </w:rPr>
        <w:tab/>
        <w:t>Procedura de acordare a autorizațiilor pentru retehnologizarea centralelor producătoare de energie din surse regenerabile:</w:t>
      </w:r>
    </w:p>
    <w:p w14:paraId="56E1B533" w14:textId="25A368D9" w:rsidR="00204B5E" w:rsidRPr="00721C2C" w:rsidRDefault="00204B5E" w:rsidP="00ED18D4">
      <w:pPr>
        <w:pStyle w:val="ListParagraph"/>
        <w:numPr>
          <w:ilvl w:val="1"/>
          <w:numId w:val="167"/>
        </w:numPr>
        <w:rPr>
          <w:noProof w:val="0"/>
        </w:rPr>
      </w:pPr>
      <w:r w:rsidRPr="00721C2C">
        <w:rPr>
          <w:noProof w:val="0"/>
        </w:rPr>
        <w:t xml:space="preserve">nu depășește 12 luni, inclusiv în privința evaluărilor de mediu, în cazul în care sunt prevăzute în legislația relevantă, în cazul instalațiile noi cu o capacitate electrică mai mică de 150 kW și pentru stocarea energiei în același amplasament, precum și pentru racordarea unor astfel de centrale, instalații și stocări la rețea, situate în afara zonelor pretabile accelerării proiectelor privind energia din surse regenerabile, </w:t>
      </w:r>
    </w:p>
    <w:p w14:paraId="2BF1467C" w14:textId="2FBCEDC0" w:rsidR="00204B5E" w:rsidRPr="00721C2C" w:rsidRDefault="00204B5E" w:rsidP="00ED18D4">
      <w:pPr>
        <w:pStyle w:val="ListParagraph"/>
        <w:numPr>
          <w:ilvl w:val="1"/>
          <w:numId w:val="167"/>
        </w:numPr>
        <w:rPr>
          <w:noProof w:val="0"/>
        </w:rPr>
      </w:pPr>
      <w:r w:rsidRPr="00721C2C">
        <w:rPr>
          <w:noProof w:val="0"/>
        </w:rPr>
        <w:t xml:space="preserve">nu depășește doi ani, inclusiv în privința evaluărilor de mediu, în cazul în care sunt prevăzute în legislația relevantă, în cazul proiectelor privind energia din surse regenerabile offshore  </w:t>
      </w:r>
    </w:p>
    <w:p w14:paraId="6229DE88" w14:textId="77777777" w:rsidR="00204B5E" w:rsidRPr="00721C2C" w:rsidRDefault="00204B5E" w:rsidP="00ED18D4">
      <w:pPr>
        <w:rPr>
          <w:noProof w:val="0"/>
        </w:rPr>
      </w:pPr>
      <w:r w:rsidRPr="00721C2C">
        <w:rPr>
          <w:noProof w:val="0"/>
        </w:rPr>
        <w:lastRenderedPageBreak/>
        <w:t>(8)</w:t>
      </w:r>
      <w:r w:rsidRPr="00721C2C">
        <w:rPr>
          <w:noProof w:val="0"/>
        </w:rPr>
        <w:tab/>
        <w:t xml:space="preserve">Termenele menționate la alin. (7) pot fi prelungite cu cel mult trei luni, dacă acest lucru este justificat în mod corespunzător din motive legate de circumstanțe excepționale. </w:t>
      </w:r>
    </w:p>
    <w:p w14:paraId="7B4AFF4A" w14:textId="77777777" w:rsidR="00204B5E" w:rsidRPr="00721C2C" w:rsidRDefault="00204B5E" w:rsidP="00ED18D4">
      <w:pPr>
        <w:rPr>
          <w:noProof w:val="0"/>
        </w:rPr>
      </w:pPr>
      <w:r w:rsidRPr="00721C2C">
        <w:rPr>
          <w:noProof w:val="0"/>
        </w:rPr>
        <w:t>(9)</w:t>
      </w:r>
      <w:r w:rsidRPr="00721C2C">
        <w:rPr>
          <w:noProof w:val="0"/>
        </w:rPr>
        <w:tab/>
        <w:t>Autoritățile publice cu competențe în procedurile de autorizare informează dezvoltatorul de proiect cu privire la circumstanțele extraordinare care justifică o prelungire în sensul alin. (8).</w:t>
      </w:r>
    </w:p>
    <w:p w14:paraId="68AE5123" w14:textId="76888E9F" w:rsidR="00204B5E" w:rsidRPr="00721C2C" w:rsidRDefault="00B91F38" w:rsidP="00ED18D4">
      <w:pPr>
        <w:rPr>
          <w:noProof w:val="0"/>
        </w:rPr>
      </w:pPr>
      <w:r w:rsidRPr="00721C2C">
        <w:rPr>
          <w:b/>
          <w:bCs/>
          <w:noProof w:val="0"/>
        </w:rPr>
        <w:t>Art.</w:t>
      </w:r>
      <w:r w:rsidR="00204B5E" w:rsidRPr="00721C2C">
        <w:rPr>
          <w:b/>
          <w:bCs/>
          <w:noProof w:val="0"/>
        </w:rPr>
        <w:t xml:space="preserve"> 16^3</w:t>
      </w:r>
      <w:r w:rsidRPr="00721C2C">
        <w:rPr>
          <w:noProof w:val="0"/>
        </w:rPr>
        <w:t xml:space="preserve"> -</w:t>
      </w:r>
      <w:r w:rsidR="00204B5E" w:rsidRPr="00721C2C">
        <w:rPr>
          <w:noProof w:val="0"/>
        </w:rPr>
        <w:t xml:space="preserve"> (1)</w:t>
      </w:r>
      <w:r w:rsidRPr="00721C2C">
        <w:rPr>
          <w:noProof w:val="0"/>
        </w:rPr>
        <w:t xml:space="preserve"> </w:t>
      </w:r>
      <w:r w:rsidR="00204B5E" w:rsidRPr="00721C2C">
        <w:rPr>
          <w:noProof w:val="0"/>
        </w:rPr>
        <w:t xml:space="preserve">În cazul în care retehnologizarea unei centrale producătoare de energie din surse regenerabile nu duce la o creștere a capacității centralei producătoare de energie din surse regenerabile cu peste 15 % și fără a aduce atingere oricărei evaluări a impactului potențial asupra mediului impusă în temeiul alin. (2), </w:t>
      </w:r>
      <w:r w:rsidR="008C620D" w:rsidRPr="00721C2C">
        <w:rPr>
          <w:noProof w:val="0"/>
        </w:rPr>
        <w:t xml:space="preserve">ANRE </w:t>
      </w:r>
      <w:r w:rsidR="00204B5E" w:rsidRPr="00721C2C">
        <w:rPr>
          <w:noProof w:val="0"/>
        </w:rPr>
        <w:t>se asigură că procedurile de acordare a autorizațiilor pentru racordările la rețeaua de transport sau de distribuție nu depășesc o durată de trei luni de la introducerea cererii adresate operatorului de rețea relevant, cu excepția cazului în care există preocupări justificate în materie de siguranță sau există o incompatibilitate tehnică a componentelor sistemului.</w:t>
      </w:r>
    </w:p>
    <w:p w14:paraId="026B9DC3" w14:textId="77777777" w:rsidR="00204B5E" w:rsidRPr="00721C2C" w:rsidRDefault="00204B5E" w:rsidP="00ED18D4">
      <w:pPr>
        <w:rPr>
          <w:noProof w:val="0"/>
        </w:rPr>
      </w:pPr>
      <w:r w:rsidRPr="00721C2C">
        <w:rPr>
          <w:noProof w:val="0"/>
        </w:rPr>
        <w:t>(2)</w:t>
      </w:r>
      <w:r w:rsidRPr="00721C2C">
        <w:rPr>
          <w:noProof w:val="0"/>
        </w:rPr>
        <w:tab/>
        <w:t>În cazul în care retehnologizarea unei centrale producătoare de energie din surse regenerabile face obiectul procedurii de examinare prevăzută la art. 16^1 alin. (9)-(13), al unei analize a necesității de a supune proiectul unei proceduri de evaluare a impactului asupra mediului sau unei evaluări a impactului asupra mediului în temeiul art. 9 din Legea nr. 292/2018, o astfel de procedură de examinare, de analiză sau de evaluare a impactului asupra mediului se limitează la efectele potențiale care rezultă din modificare sau din extindere în comparație cu proiectul inițial.</w:t>
      </w:r>
    </w:p>
    <w:p w14:paraId="758FE07C" w14:textId="77777777" w:rsidR="00204B5E" w:rsidRPr="00721C2C" w:rsidRDefault="00204B5E" w:rsidP="00ED18D4">
      <w:pPr>
        <w:rPr>
          <w:noProof w:val="0"/>
        </w:rPr>
      </w:pPr>
      <w:r w:rsidRPr="00721C2C">
        <w:rPr>
          <w:noProof w:val="0"/>
        </w:rPr>
        <w:t>(3)</w:t>
      </w:r>
      <w:r w:rsidRPr="00721C2C">
        <w:rPr>
          <w:noProof w:val="0"/>
        </w:rPr>
        <w:tab/>
        <w:t>În cazul în care retehnologizarea instalațiilor solare nu implică utilizarea unui spațiu suplimentar și respectă măsurile aplicabile de atenuare a impactului asupra mediului stabilite pentru instalația inițială, proiectul este exceptat de la orice cerințe aplicabile de a fi supus unei proceduri de examinare prevăzută la art. 16^1 alin. (9)-(13), unei analize a necesității de a supune proiectul unei evaluări a impactului asupra mediului sau de a realiza o evaluare a impactului asupra mediului în temeiul articolului 9 din Legea nr. 292/2018 cu modificările și completările ulterioare.</w:t>
      </w:r>
    </w:p>
    <w:p w14:paraId="05FD8DFC" w14:textId="38DA02B8" w:rsidR="00204B5E" w:rsidRPr="00721C2C" w:rsidRDefault="00204B5E" w:rsidP="00ED18D4">
      <w:pPr>
        <w:rPr>
          <w:noProof w:val="0"/>
        </w:rPr>
      </w:pPr>
      <w:r w:rsidRPr="00721C2C">
        <w:rPr>
          <w:b/>
          <w:bCs/>
          <w:noProof w:val="0"/>
        </w:rPr>
        <w:t xml:space="preserve"> </w:t>
      </w:r>
      <w:r w:rsidR="001767A5" w:rsidRPr="00721C2C">
        <w:rPr>
          <w:b/>
          <w:bCs/>
          <w:noProof w:val="0"/>
        </w:rPr>
        <w:t xml:space="preserve">Art. </w:t>
      </w:r>
      <w:r w:rsidRPr="00721C2C">
        <w:rPr>
          <w:b/>
          <w:bCs/>
          <w:noProof w:val="0"/>
        </w:rPr>
        <w:t>16^4</w:t>
      </w:r>
      <w:r w:rsidRPr="00721C2C">
        <w:rPr>
          <w:noProof w:val="0"/>
        </w:rPr>
        <w:t xml:space="preserve"> </w:t>
      </w:r>
      <w:r w:rsidR="001767A5" w:rsidRPr="00721C2C">
        <w:rPr>
          <w:noProof w:val="0"/>
        </w:rPr>
        <w:t xml:space="preserve">- </w:t>
      </w:r>
      <w:r w:rsidRPr="00721C2C">
        <w:rPr>
          <w:noProof w:val="0"/>
        </w:rPr>
        <w:t>Punctul de Contact Unic se asigură că procedura de acordare a autorizațiilor menționată la art. 16 alin. (1) și (2) pentru instalarea de echipamente de energie solară și stocarea energiei în același amplasament, inclusiv instalații solare integrate în clădiri, în structuri artificiale existente sau viitoare, cu excepția suprafețelor artificiale de apă, nu depășește trei luni, cu condiția ca scopul principal al unor astfel de structuri artificiale să nu fie producerea de energie solară sau stocarea de energie.</w:t>
      </w:r>
    </w:p>
    <w:p w14:paraId="6B3CB291" w14:textId="77777777" w:rsidR="00204B5E" w:rsidRPr="00721C2C" w:rsidRDefault="00204B5E" w:rsidP="00ED18D4">
      <w:pPr>
        <w:rPr>
          <w:noProof w:val="0"/>
        </w:rPr>
      </w:pPr>
      <w:r w:rsidRPr="00721C2C">
        <w:rPr>
          <w:noProof w:val="0"/>
        </w:rPr>
        <w:t>(2)</w:t>
      </w:r>
      <w:r w:rsidRPr="00721C2C">
        <w:rPr>
          <w:noProof w:val="0"/>
        </w:rPr>
        <w:tab/>
        <w:t>Prin derogare de la articolul 9 alineatul (2) din Legea nr. 292/2018 de la punctul 3 literele (a) și (b), individual sau coroborat cu punctul 13 litera (a), din anexa nr. 2 la respectiva lege, o astfel de instalare de echipamente solare poate fi exceptată, dacă este cazul, de la cerința de a fi supusă unei evaluări specifice a impactului asupra mediului în temeiul articolului 7 alineatul (1) din Legea nr. 292/2018.</w:t>
      </w:r>
    </w:p>
    <w:p w14:paraId="129B6375" w14:textId="77777777" w:rsidR="00204B5E" w:rsidRPr="00721C2C" w:rsidRDefault="00204B5E" w:rsidP="00ED18D4">
      <w:pPr>
        <w:rPr>
          <w:noProof w:val="0"/>
        </w:rPr>
      </w:pPr>
      <w:r w:rsidRPr="00721C2C">
        <w:rPr>
          <w:noProof w:val="0"/>
        </w:rPr>
        <w:t>(3)</w:t>
      </w:r>
      <w:r w:rsidRPr="00721C2C">
        <w:rPr>
          <w:noProof w:val="0"/>
        </w:rPr>
        <w:tab/>
        <w:t>Ministerul Mediului, Apelor și Pădurilor, Ministerul Culturii și Ministerul Apărării Naționale pot exclude anumite zone sau structuri de la aplicarea primului alineat, în scopul protejării patrimoniului cultural sau istoric ori din motive legate de interese de apărare națională sau de siguranță.</w:t>
      </w:r>
    </w:p>
    <w:p w14:paraId="6E433FDD" w14:textId="77777777" w:rsidR="00204B5E" w:rsidRPr="00721C2C" w:rsidRDefault="00204B5E" w:rsidP="00ED18D4">
      <w:pPr>
        <w:rPr>
          <w:noProof w:val="0"/>
        </w:rPr>
      </w:pPr>
      <w:r w:rsidRPr="00721C2C">
        <w:rPr>
          <w:noProof w:val="0"/>
        </w:rPr>
        <w:lastRenderedPageBreak/>
        <w:t>(4)</w:t>
      </w:r>
      <w:r w:rsidRPr="00721C2C">
        <w:rPr>
          <w:noProof w:val="0"/>
        </w:rPr>
        <w:tab/>
        <w:t>Punctul de Contact Unic se asigură că procedura de acordare a autorizațiilor pentru instalarea de echipamente de energie solară cu o capacitate mai mică sau egală cu 100 kW, inclusiv pentru autoconsumatorii de energie din surse regenerabile și comunitățile de energie din surse regenerabile, nu depășește o lună.</w:t>
      </w:r>
    </w:p>
    <w:p w14:paraId="24F6029D" w14:textId="77777777" w:rsidR="00204B5E" w:rsidRPr="00721C2C" w:rsidRDefault="00204B5E" w:rsidP="00ED18D4">
      <w:pPr>
        <w:rPr>
          <w:noProof w:val="0"/>
        </w:rPr>
      </w:pPr>
      <w:r w:rsidRPr="00721C2C">
        <w:rPr>
          <w:noProof w:val="0"/>
        </w:rPr>
        <w:t>(5)</w:t>
      </w:r>
      <w:r w:rsidRPr="00721C2C">
        <w:rPr>
          <w:noProof w:val="0"/>
        </w:rPr>
        <w:tab/>
        <w:t xml:space="preserve"> În absența unui răspuns din partea ANRE în termenul stabilit la alin. (4) după depunerea unei cereri complete, ANRE emite în termen de 5 zile autorizația respectivă, cu condiția ca capacitatea echipamentelor de energie solară să nu depășească capacitatea existentă a racordării la rețeaua de distribuție. </w:t>
      </w:r>
    </w:p>
    <w:p w14:paraId="0CCF084C" w14:textId="77777777" w:rsidR="00204B5E" w:rsidRPr="00721C2C" w:rsidRDefault="00204B5E" w:rsidP="00ED18D4">
      <w:pPr>
        <w:rPr>
          <w:noProof w:val="0"/>
        </w:rPr>
      </w:pPr>
      <w:r w:rsidRPr="00721C2C">
        <w:rPr>
          <w:noProof w:val="0"/>
        </w:rPr>
        <w:t>(6)</w:t>
      </w:r>
      <w:r w:rsidRPr="00721C2C">
        <w:rPr>
          <w:noProof w:val="0"/>
        </w:rPr>
        <w:tab/>
        <w:t>În cazul în care aplicarea pragului privind capacitatea menționată generează o sarcină administrativă semnificativă sau afectează exploatarea rețelei de energie electrică, Autoritatea Națională de Reglementare în domeniul Energiei poate aplica un prag privind capacitatea mai scăzut, cu condiția ca acesta să rămână superior valorii de 10,8 kW.</w:t>
      </w:r>
    </w:p>
    <w:p w14:paraId="643171DD" w14:textId="4717D3BF" w:rsidR="00204B5E" w:rsidRPr="00721C2C" w:rsidRDefault="001767A5" w:rsidP="00ED18D4">
      <w:pPr>
        <w:rPr>
          <w:noProof w:val="0"/>
        </w:rPr>
      </w:pPr>
      <w:r w:rsidRPr="00721C2C">
        <w:rPr>
          <w:b/>
          <w:bCs/>
          <w:noProof w:val="0"/>
        </w:rPr>
        <w:t>Art.</w:t>
      </w:r>
      <w:r w:rsidR="00204B5E" w:rsidRPr="00721C2C">
        <w:rPr>
          <w:b/>
          <w:bCs/>
          <w:noProof w:val="0"/>
        </w:rPr>
        <w:t xml:space="preserve"> 16^5</w:t>
      </w:r>
      <w:r w:rsidRPr="00721C2C">
        <w:rPr>
          <w:noProof w:val="0"/>
        </w:rPr>
        <w:t xml:space="preserve"> - </w:t>
      </w:r>
      <w:r w:rsidR="00204B5E" w:rsidRPr="00721C2C">
        <w:rPr>
          <w:noProof w:val="0"/>
        </w:rPr>
        <w:t>(1)</w:t>
      </w:r>
      <w:r w:rsidRPr="00721C2C">
        <w:rPr>
          <w:noProof w:val="0"/>
        </w:rPr>
        <w:t xml:space="preserve"> ANRE </w:t>
      </w:r>
      <w:r w:rsidR="00204B5E" w:rsidRPr="00721C2C">
        <w:rPr>
          <w:noProof w:val="0"/>
        </w:rPr>
        <w:t>se asigură că:</w:t>
      </w:r>
    </w:p>
    <w:p w14:paraId="57EA0FC3" w14:textId="67B29CEB" w:rsidR="00204B5E" w:rsidRPr="00721C2C" w:rsidRDefault="00204B5E" w:rsidP="00ED18D4">
      <w:pPr>
        <w:pStyle w:val="ListParagraph"/>
        <w:numPr>
          <w:ilvl w:val="0"/>
          <w:numId w:val="168"/>
        </w:numPr>
        <w:rPr>
          <w:noProof w:val="0"/>
        </w:rPr>
      </w:pPr>
      <w:r w:rsidRPr="00721C2C">
        <w:rPr>
          <w:noProof w:val="0"/>
        </w:rPr>
        <w:t xml:space="preserve">procedura de acordare a autorizațiilor pentru instalarea pompelor de căldură cu o putere mai mică de 50 MW nu depășește o lună, </w:t>
      </w:r>
    </w:p>
    <w:p w14:paraId="496B9BEF" w14:textId="3084A09C" w:rsidR="00204B5E" w:rsidRPr="00721C2C" w:rsidRDefault="00204B5E" w:rsidP="00ED18D4">
      <w:pPr>
        <w:pStyle w:val="ListParagraph"/>
        <w:numPr>
          <w:ilvl w:val="0"/>
          <w:numId w:val="168"/>
        </w:numPr>
        <w:rPr>
          <w:noProof w:val="0"/>
        </w:rPr>
      </w:pPr>
      <w:r w:rsidRPr="00721C2C">
        <w:rPr>
          <w:noProof w:val="0"/>
        </w:rPr>
        <w:t>prin excepție de la prevederile lit. a) procedura de acordare a autorizațiilor pentru instalarea pompelor de căldură cu sursa sol nu depășește trei luni.</w:t>
      </w:r>
    </w:p>
    <w:p w14:paraId="6F74D204" w14:textId="77777777" w:rsidR="00204B5E" w:rsidRPr="00721C2C" w:rsidRDefault="00204B5E" w:rsidP="00ED18D4">
      <w:pPr>
        <w:rPr>
          <w:noProof w:val="0"/>
        </w:rPr>
      </w:pPr>
      <w:r w:rsidRPr="00721C2C">
        <w:rPr>
          <w:noProof w:val="0"/>
        </w:rPr>
        <w:t>(2)</w:t>
      </w:r>
      <w:r w:rsidRPr="00721C2C">
        <w:rPr>
          <w:noProof w:val="0"/>
        </w:rPr>
        <w:tab/>
        <w:t>Prin excepție de la prevederile alin. (1) în cazul în care există preocupări justificate în materie de siguranță, în care sunt necesare lucrări suplimentare pentru racordările la rețea sau în care există o incompatibilitate tehnică între componentele sistemului, Autoritatea Națională de Reglementare în domeniul Energiei se asigură că racordările la rețeaua de transport sau de distribuție să fie autorizate în termen de două săptămâni de la notificarea entității relevante pentru:</w:t>
      </w:r>
    </w:p>
    <w:p w14:paraId="613F506B" w14:textId="212377D6" w:rsidR="00204B5E" w:rsidRPr="00721C2C" w:rsidRDefault="00204B5E" w:rsidP="00ED18D4">
      <w:pPr>
        <w:pStyle w:val="ListParagraph"/>
        <w:numPr>
          <w:ilvl w:val="0"/>
          <w:numId w:val="169"/>
        </w:numPr>
        <w:rPr>
          <w:noProof w:val="0"/>
        </w:rPr>
      </w:pPr>
      <w:r w:rsidRPr="00721C2C">
        <w:rPr>
          <w:noProof w:val="0"/>
        </w:rPr>
        <w:t xml:space="preserve">pompele de căldură cu o capacitate electrică de până la 12 kW; și </w:t>
      </w:r>
    </w:p>
    <w:p w14:paraId="54FCFE40" w14:textId="40AD008F" w:rsidR="00204B5E" w:rsidRPr="00721C2C" w:rsidRDefault="00204B5E" w:rsidP="00ED18D4">
      <w:pPr>
        <w:pStyle w:val="ListParagraph"/>
        <w:numPr>
          <w:ilvl w:val="0"/>
          <w:numId w:val="169"/>
        </w:numPr>
        <w:rPr>
          <w:noProof w:val="0"/>
        </w:rPr>
      </w:pPr>
      <w:r w:rsidRPr="00721C2C">
        <w:rPr>
          <w:noProof w:val="0"/>
        </w:rPr>
        <w:t>pompele de căldură cu o capacitate electrică de până la 50 kW instalate de un autoconsumator de energie din surse regenerabile, cu condiția ca capacitatea electrică a instalației de producere a energiei electrice din surse regenerabile a autoconsumatorului de energie din surse regenerabile să reprezinte cel puțin 60 % din capacitatea electrică a pompei de căldură.</w:t>
      </w:r>
      <w:r w:rsidRPr="00721C2C">
        <w:rPr>
          <w:noProof w:val="0"/>
        </w:rPr>
        <w:tab/>
      </w:r>
    </w:p>
    <w:p w14:paraId="08B2ADE0" w14:textId="77777777" w:rsidR="00204B5E" w:rsidRPr="00721C2C" w:rsidRDefault="00204B5E" w:rsidP="00ED18D4">
      <w:pPr>
        <w:rPr>
          <w:noProof w:val="0"/>
        </w:rPr>
      </w:pPr>
      <w:r w:rsidRPr="00721C2C">
        <w:rPr>
          <w:noProof w:val="0"/>
        </w:rPr>
        <w:t>(3)</w:t>
      </w:r>
      <w:r w:rsidRPr="00721C2C">
        <w:rPr>
          <w:noProof w:val="0"/>
        </w:rPr>
        <w:tab/>
        <w:t>Ministerul Culturii și Ministerul Apărării Naționale pot excepta anumite zone sau structuri de la aplicarea alin. (1) și (2) în scopul protejării patrimoniului cultural sau istoric ori din motive legate de interese de apărare națională sau din motive de siguranță.</w:t>
      </w:r>
    </w:p>
    <w:p w14:paraId="49C52EEF" w14:textId="1495D8B3" w:rsidR="00204B5E" w:rsidRPr="00721C2C" w:rsidRDefault="00204B5E" w:rsidP="00ED18D4">
      <w:pPr>
        <w:rPr>
          <w:noProof w:val="0"/>
        </w:rPr>
      </w:pPr>
      <w:r w:rsidRPr="00721C2C">
        <w:rPr>
          <w:noProof w:val="0"/>
        </w:rPr>
        <w:t>(4)</w:t>
      </w:r>
      <w:r w:rsidRPr="00721C2C">
        <w:rPr>
          <w:noProof w:val="0"/>
        </w:rPr>
        <w:tab/>
      </w:r>
      <w:r w:rsidR="00FA3B54" w:rsidRPr="00721C2C">
        <w:rPr>
          <w:noProof w:val="0"/>
        </w:rPr>
        <w:t>ANRE</w:t>
      </w:r>
      <w:r w:rsidRPr="00721C2C">
        <w:rPr>
          <w:noProof w:val="0"/>
        </w:rPr>
        <w:t xml:space="preserve"> pune la dispoziția publicului (4)</w:t>
      </w:r>
      <w:r w:rsidRPr="00721C2C">
        <w:rPr>
          <w:noProof w:val="0"/>
        </w:rPr>
        <w:tab/>
        <w:t>toate</w:t>
      </w:r>
      <w:r w:rsidR="00FA3B54" w:rsidRPr="00721C2C">
        <w:rPr>
          <w:noProof w:val="0"/>
        </w:rPr>
        <w:t xml:space="preserve"> </w:t>
      </w:r>
      <w:r w:rsidRPr="00721C2C">
        <w:rPr>
          <w:noProof w:val="0"/>
        </w:rPr>
        <w:t>deciziile care rezultă din procedura de acordare a autorizațiilor menționate la alin. (1) și art. (2).</w:t>
      </w:r>
    </w:p>
    <w:p w14:paraId="06FF3E1D" w14:textId="29CCB200" w:rsidR="00204B5E" w:rsidRPr="00721C2C" w:rsidRDefault="00803065" w:rsidP="00ED18D4">
      <w:pPr>
        <w:rPr>
          <w:noProof w:val="0"/>
        </w:rPr>
      </w:pPr>
      <w:r w:rsidRPr="00721C2C">
        <w:rPr>
          <w:b/>
          <w:bCs/>
          <w:noProof w:val="0"/>
        </w:rPr>
        <w:t xml:space="preserve">Art. </w:t>
      </w:r>
      <w:r w:rsidR="00204B5E" w:rsidRPr="00721C2C">
        <w:rPr>
          <w:b/>
          <w:bCs/>
          <w:noProof w:val="0"/>
        </w:rPr>
        <w:t>16^6</w:t>
      </w:r>
      <w:r w:rsidR="00204B5E" w:rsidRPr="00721C2C">
        <w:rPr>
          <w:noProof w:val="0"/>
        </w:rPr>
        <w:t xml:space="preserve"> </w:t>
      </w:r>
      <w:r w:rsidRPr="00721C2C">
        <w:rPr>
          <w:noProof w:val="0"/>
        </w:rPr>
        <w:t xml:space="preserve">- </w:t>
      </w:r>
      <w:r w:rsidR="00204B5E" w:rsidRPr="00721C2C">
        <w:rPr>
          <w:noProof w:val="0"/>
        </w:rPr>
        <w:t>(1)</w:t>
      </w:r>
      <w:r w:rsidRPr="00721C2C">
        <w:rPr>
          <w:noProof w:val="0"/>
        </w:rPr>
        <w:t xml:space="preserve"> </w:t>
      </w:r>
      <w:r w:rsidR="00204B5E" w:rsidRPr="00721C2C">
        <w:rPr>
          <w:noProof w:val="0"/>
        </w:rPr>
        <w:t>Până la 21 februarie 2026, Autoritatea Națională de Reglementare în domeniul Energiei se asigură că, în cadrul procedurii de acordare a autorizațiilor, planificarea, construcția și exploatarea centralelor producătoare de energie din surse regenerabile, racordarea unor astfel de structuri la rețea, rețeaua aferentă în sine și activele de stocare sunt considerate de interes public superior și că sunt în serviciul sănătății și siguranței publice, atunci când se pun în balanță interese juridice în cazuri individuale, în sensul OUG nr. 57/2007, cu modificările și completările ulterioare, și  OUG nr. 3/2010, cu modificările și completările ulterioare.</w:t>
      </w:r>
    </w:p>
    <w:p w14:paraId="08FE8F18" w14:textId="77777777" w:rsidR="00204B5E" w:rsidRPr="00721C2C" w:rsidRDefault="00204B5E" w:rsidP="00ED18D4">
      <w:pPr>
        <w:rPr>
          <w:noProof w:val="0"/>
        </w:rPr>
      </w:pPr>
      <w:r w:rsidRPr="00721C2C">
        <w:rPr>
          <w:noProof w:val="0"/>
        </w:rPr>
        <w:lastRenderedPageBreak/>
        <w:t>(2)</w:t>
      </w:r>
      <w:r w:rsidRPr="00721C2C">
        <w:rPr>
          <w:noProof w:val="0"/>
        </w:rPr>
        <w:tab/>
        <w:t>Ministerul de resort și Autoritatea Națională de Reglementare în domeniul Energiei pot limita, în împrejurări speciale și bine justificate, aplicarea prezentului articol la anumite părți ale teritoriului lor, precum și la anumite tipuri de tehnologii sau la proiecte cu anumite caracteristici tehnice, în conformitate cu prioritățile prevăzute în PNIESC.</w:t>
      </w:r>
    </w:p>
    <w:p w14:paraId="28C433CF" w14:textId="77777777" w:rsidR="00204B5E" w:rsidRPr="00721C2C" w:rsidRDefault="00204B5E" w:rsidP="00ED18D4">
      <w:pPr>
        <w:rPr>
          <w:noProof w:val="0"/>
        </w:rPr>
      </w:pPr>
      <w:r w:rsidRPr="00721C2C">
        <w:rPr>
          <w:noProof w:val="0"/>
        </w:rPr>
        <w:t>(3)</w:t>
      </w:r>
      <w:r w:rsidRPr="00721C2C">
        <w:rPr>
          <w:noProof w:val="0"/>
        </w:rPr>
        <w:tab/>
        <w:t>Ministerul de resort informează Comisia cu privire la astfel de restricții aplicate și cu privire la justificarea acestora.</w:t>
      </w:r>
    </w:p>
    <w:p w14:paraId="0A7461D5" w14:textId="588F2CC5" w:rsidR="006D09E0" w:rsidRPr="00721C2C" w:rsidRDefault="006D09E0" w:rsidP="00ED18D4">
      <w:pPr>
        <w:pStyle w:val="Heading5"/>
      </w:pPr>
      <w:r w:rsidRPr="00721C2C">
        <w:t xml:space="preserve">- La art. 19 alin. (1), (2) și (3) se modifică și vor avea următorul cuprins: </w:t>
      </w:r>
    </w:p>
    <w:p w14:paraId="19FF504B" w14:textId="57FCDAC1" w:rsidR="006D09E0" w:rsidRPr="00721C2C" w:rsidRDefault="006D09E0" w:rsidP="00ED18D4">
      <w:pPr>
        <w:rPr>
          <w:noProof w:val="0"/>
        </w:rPr>
      </w:pPr>
      <w:r w:rsidRPr="00721C2C">
        <w:rPr>
          <w:noProof w:val="0"/>
        </w:rPr>
        <w:t>(1)</w:t>
      </w:r>
      <w:r w:rsidRPr="00721C2C">
        <w:rPr>
          <w:noProof w:val="0"/>
        </w:rPr>
        <w:tab/>
        <w:t>Garanția de origine se emite ca răspuns la cererea unui producător de energie din surse regenerabile (inclusiv gaze, biometan și hidrogen din surse regenerabile) și de energie electrică din  sursă nucleară, cu excepția producătorilor de energie din surse regenerabile care au beneficiat/beneficiază de scheme de sprijin pentru care emiterea de garanții de origine se poate realiza implicit, de  către ANRE, în vederea aplicării prevederilor alineatului (4).</w:t>
      </w:r>
    </w:p>
    <w:p w14:paraId="72B80F2E" w14:textId="77777777" w:rsidR="006D09E0" w:rsidRPr="00721C2C" w:rsidRDefault="006D09E0" w:rsidP="00ED18D4">
      <w:pPr>
        <w:rPr>
          <w:noProof w:val="0"/>
        </w:rPr>
      </w:pPr>
      <w:r w:rsidRPr="00721C2C">
        <w:rPr>
          <w:noProof w:val="0"/>
        </w:rPr>
        <w:t>(2)</w:t>
      </w:r>
      <w:r w:rsidRPr="00721C2C">
        <w:rPr>
          <w:noProof w:val="0"/>
        </w:rPr>
        <w:tab/>
        <w:t>În conformitate cu prevederile prezentului articol, ANRE se mandatează în vederea angajării unor studii privind elaborarea reglementărilor necesare în vederea emiterii și urmării a garanțiilor de origine pentru:</w:t>
      </w:r>
    </w:p>
    <w:p w14:paraId="1A2B51EC" w14:textId="4A7C5C76" w:rsidR="006D09E0" w:rsidRPr="00721C2C" w:rsidRDefault="006D09E0" w:rsidP="00ED18D4">
      <w:pPr>
        <w:pStyle w:val="ListParagraph"/>
        <w:numPr>
          <w:ilvl w:val="0"/>
          <w:numId w:val="170"/>
        </w:numPr>
        <w:rPr>
          <w:noProof w:val="0"/>
        </w:rPr>
      </w:pPr>
      <w:r w:rsidRPr="00721C2C">
        <w:rPr>
          <w:noProof w:val="0"/>
        </w:rPr>
        <w:t>energie electrică;</w:t>
      </w:r>
    </w:p>
    <w:p w14:paraId="0AF2881B" w14:textId="14BF68B2" w:rsidR="006D09E0" w:rsidRPr="00721C2C" w:rsidRDefault="006D09E0" w:rsidP="00ED18D4">
      <w:pPr>
        <w:pStyle w:val="ListParagraph"/>
        <w:numPr>
          <w:ilvl w:val="0"/>
          <w:numId w:val="170"/>
        </w:numPr>
        <w:rPr>
          <w:noProof w:val="0"/>
        </w:rPr>
      </w:pPr>
      <w:r w:rsidRPr="00721C2C">
        <w:rPr>
          <w:noProof w:val="0"/>
        </w:rPr>
        <w:t xml:space="preserve">biogaze și biometan, inclusiv hidrogen; </w:t>
      </w:r>
    </w:p>
    <w:p w14:paraId="155C1E39" w14:textId="2797229B" w:rsidR="006D09E0" w:rsidRPr="00721C2C" w:rsidRDefault="006D09E0" w:rsidP="00ED18D4">
      <w:pPr>
        <w:pStyle w:val="ListParagraph"/>
        <w:numPr>
          <w:ilvl w:val="0"/>
          <w:numId w:val="170"/>
        </w:numPr>
        <w:rPr>
          <w:noProof w:val="0"/>
        </w:rPr>
      </w:pPr>
      <w:r w:rsidRPr="00721C2C">
        <w:rPr>
          <w:noProof w:val="0"/>
        </w:rPr>
        <w:t>energie termică;</w:t>
      </w:r>
    </w:p>
    <w:p w14:paraId="0A001CD8" w14:textId="77777777" w:rsidR="006D09E0" w:rsidRPr="00721C2C" w:rsidRDefault="006D09E0" w:rsidP="00ED18D4">
      <w:pPr>
        <w:rPr>
          <w:noProof w:val="0"/>
        </w:rPr>
      </w:pPr>
      <w:r w:rsidRPr="00721C2C">
        <w:rPr>
          <w:noProof w:val="0"/>
        </w:rPr>
        <w:t>(3)</w:t>
      </w:r>
      <w:r w:rsidRPr="00721C2C">
        <w:rPr>
          <w:noProof w:val="0"/>
        </w:rPr>
        <w:tab/>
        <w:t>În termen de 120 zile de la finalizarea studiilor menționate la alin. (2) ANRE elaborează și aprobă prin ordin al președintelui următoarele:</w:t>
      </w:r>
    </w:p>
    <w:p w14:paraId="415F3D6C" w14:textId="6A50E7A6" w:rsidR="006D09E0" w:rsidRPr="00721C2C" w:rsidRDefault="006D09E0" w:rsidP="00ED18D4">
      <w:pPr>
        <w:pStyle w:val="ListParagraph"/>
        <w:numPr>
          <w:ilvl w:val="0"/>
          <w:numId w:val="171"/>
        </w:numPr>
        <w:rPr>
          <w:noProof w:val="0"/>
        </w:rPr>
      </w:pPr>
      <w:r w:rsidRPr="00721C2C">
        <w:rPr>
          <w:noProof w:val="0"/>
        </w:rPr>
        <w:t>Regulamentul de emitere şi urmărire a garanţiilor de origine pentru energia electrică produsă din surse regenerabile de energie și sursă nucleară, ce include și stabilește:</w:t>
      </w:r>
    </w:p>
    <w:p w14:paraId="7DC41F7D" w14:textId="2AC188EC" w:rsidR="006D09E0" w:rsidRPr="00721C2C" w:rsidRDefault="006D09E0" w:rsidP="00ED18D4">
      <w:pPr>
        <w:pStyle w:val="ListParagraph"/>
        <w:numPr>
          <w:ilvl w:val="0"/>
          <w:numId w:val="174"/>
        </w:numPr>
        <w:rPr>
          <w:noProof w:val="0"/>
        </w:rPr>
      </w:pPr>
      <w:r w:rsidRPr="00721C2C">
        <w:rPr>
          <w:noProof w:val="0"/>
        </w:rPr>
        <w:t>regulile privind obligativitatea furnizorilor de a proba eticheta de energie electrică numai cu garanţia de origine;</w:t>
      </w:r>
    </w:p>
    <w:p w14:paraId="67F8F4A5" w14:textId="0D3CB354" w:rsidR="006D09E0" w:rsidRPr="00721C2C" w:rsidRDefault="006D09E0" w:rsidP="00ED18D4">
      <w:pPr>
        <w:pStyle w:val="ListParagraph"/>
        <w:numPr>
          <w:ilvl w:val="0"/>
          <w:numId w:val="174"/>
        </w:numPr>
        <w:rPr>
          <w:noProof w:val="0"/>
        </w:rPr>
      </w:pPr>
      <w:r w:rsidRPr="00721C2C">
        <w:rPr>
          <w:noProof w:val="0"/>
        </w:rPr>
        <w:t xml:space="preserve">condiţiile privind emiterea, valabilitatea, transferul, anularea şi expirarea garanţiilor de origine, în conformitate cu alin. (4)-(13), exceptând punctele (ii) și (iii) ale alineatului (12) litera b); </w:t>
      </w:r>
    </w:p>
    <w:p w14:paraId="54CE500E" w14:textId="7907BD68" w:rsidR="006D09E0" w:rsidRPr="00721C2C" w:rsidRDefault="006D09E0" w:rsidP="00ED18D4">
      <w:pPr>
        <w:pStyle w:val="ListParagraph"/>
        <w:numPr>
          <w:ilvl w:val="0"/>
          <w:numId w:val="174"/>
        </w:numPr>
        <w:rPr>
          <w:noProof w:val="0"/>
        </w:rPr>
      </w:pPr>
      <w:r w:rsidRPr="00721C2C">
        <w:rPr>
          <w:noProof w:val="0"/>
        </w:rPr>
        <w:t>metodologia de calcul al mixului energetic rezidual.</w:t>
      </w:r>
    </w:p>
    <w:p w14:paraId="09E21B6E" w14:textId="56EBB212" w:rsidR="006D09E0" w:rsidRPr="00721C2C" w:rsidRDefault="006D09E0" w:rsidP="00ED18D4">
      <w:pPr>
        <w:pStyle w:val="ListParagraph"/>
        <w:numPr>
          <w:ilvl w:val="0"/>
          <w:numId w:val="174"/>
        </w:numPr>
        <w:rPr>
          <w:noProof w:val="0"/>
        </w:rPr>
      </w:pPr>
      <w:r w:rsidRPr="00721C2C">
        <w:rPr>
          <w:noProof w:val="0"/>
        </w:rPr>
        <w:t>Procedura de emitere și de atribuire, prin mecanism pro-rata, a garanțiilor de origine aferente energiei regenerabile susținute prin scheme de sprijin.</w:t>
      </w:r>
    </w:p>
    <w:p w14:paraId="4243057B" w14:textId="4D830CAC" w:rsidR="006D09E0" w:rsidRPr="00721C2C" w:rsidRDefault="006D09E0" w:rsidP="00ED18D4">
      <w:pPr>
        <w:pStyle w:val="ListParagraph"/>
        <w:numPr>
          <w:ilvl w:val="0"/>
          <w:numId w:val="171"/>
        </w:numPr>
        <w:rPr>
          <w:noProof w:val="0"/>
        </w:rPr>
      </w:pPr>
      <w:r w:rsidRPr="00721C2C">
        <w:rPr>
          <w:noProof w:val="0"/>
        </w:rPr>
        <w:t xml:space="preserve">Regulamentul de emitere și urmărire a garanțiilor de origine pentru gaz, inclusiv hidrogen, ce include și stabilește condițiile privind emiterea, valabilitatea, transferul, anularea și expirarea garanțiilor de origine pentru gaz inclusiv hidrogen. </w:t>
      </w:r>
    </w:p>
    <w:p w14:paraId="20361434" w14:textId="09A48845" w:rsidR="006D09E0" w:rsidRPr="00721C2C" w:rsidRDefault="006D09E0" w:rsidP="00ED18D4">
      <w:pPr>
        <w:pStyle w:val="ListParagraph"/>
        <w:numPr>
          <w:ilvl w:val="0"/>
          <w:numId w:val="171"/>
        </w:numPr>
        <w:rPr>
          <w:noProof w:val="0"/>
        </w:rPr>
      </w:pPr>
      <w:r w:rsidRPr="00721C2C">
        <w:rPr>
          <w:noProof w:val="0"/>
        </w:rPr>
        <w:t>Regulamentul de emitere și urmărire a garanțiilor de origine pentru energia termică produsă din surse regenerabile, ce include și va stabilește condițiile privind emiterea, valabilitatea, transferul, anularea și expirarea garanțiilor de origine pentru energia termică produsă din surse regenerabile.</w:t>
      </w:r>
    </w:p>
    <w:p w14:paraId="55B1E488" w14:textId="77777777" w:rsidR="006D09E0" w:rsidRPr="00721C2C" w:rsidRDefault="006D09E0" w:rsidP="00ED18D4">
      <w:pPr>
        <w:rPr>
          <w:noProof w:val="0"/>
        </w:rPr>
      </w:pPr>
    </w:p>
    <w:p w14:paraId="47878D96" w14:textId="6812568A" w:rsidR="00721C2C" w:rsidRPr="00721C2C" w:rsidRDefault="00721C2C" w:rsidP="00ED18D4">
      <w:pPr>
        <w:pStyle w:val="Heading5"/>
      </w:pPr>
      <w:r w:rsidRPr="00721C2C">
        <w:t>La art. 19 după alin. (4)  se introduce un nou alin. (4^1) cu următorul cuprins:</w:t>
      </w:r>
    </w:p>
    <w:p w14:paraId="23109D05" w14:textId="6B3FA1CA" w:rsidR="00721C2C" w:rsidRPr="00721C2C" w:rsidRDefault="00721C2C" w:rsidP="00ED18D4">
      <w:pPr>
        <w:rPr>
          <w:noProof w:val="0"/>
        </w:rPr>
      </w:pPr>
      <w:r w:rsidRPr="00721C2C">
        <w:rPr>
          <w:noProof w:val="0"/>
        </w:rPr>
        <w:lastRenderedPageBreak/>
        <w:t>(4^1) Excepție la prevederile alin. (4) fac GO transferate în baza contractelor de achiziție de energie din surse regenerabile intrate în vigoare după data de 1 aprilie 2022. Aceste GO vor fi transferate de la producator direct c</w:t>
      </w:r>
      <w:r w:rsidR="00CD26EC">
        <w:rPr>
          <w:noProof w:val="0"/>
        </w:rPr>
        <w:t>ă</w:t>
      </w:r>
      <w:r w:rsidRPr="00721C2C">
        <w:rPr>
          <w:noProof w:val="0"/>
        </w:rPr>
        <w:t>tre consumator.</w:t>
      </w:r>
    </w:p>
    <w:p w14:paraId="61B86499" w14:textId="487E7F01" w:rsidR="00721C2C" w:rsidRPr="00721C2C" w:rsidRDefault="00721C2C" w:rsidP="00ED18D4">
      <w:pPr>
        <w:rPr>
          <w:noProof w:val="0"/>
        </w:rPr>
      </w:pPr>
      <w:r w:rsidRPr="00721C2C">
        <w:rPr>
          <w:noProof w:val="0"/>
        </w:rPr>
        <w:t>(4^2) Furnizorii aloca GO at</w:t>
      </w:r>
      <w:r w:rsidR="00CD26EC">
        <w:rPr>
          <w:noProof w:val="0"/>
        </w:rPr>
        <w:t>â</w:t>
      </w:r>
      <w:r w:rsidRPr="00721C2C">
        <w:rPr>
          <w:noProof w:val="0"/>
        </w:rPr>
        <w:t>t cele alocate în conformitate cu prevederile alin. (4), c</w:t>
      </w:r>
      <w:r>
        <w:rPr>
          <w:noProof w:val="0"/>
        </w:rPr>
        <w:t>â</w:t>
      </w:r>
      <w:r w:rsidRPr="00721C2C">
        <w:rPr>
          <w:noProof w:val="0"/>
        </w:rPr>
        <w:t xml:space="preserve">t </w:t>
      </w:r>
      <w:r>
        <w:rPr>
          <w:noProof w:val="0"/>
        </w:rPr>
        <w:t>ș</w:t>
      </w:r>
      <w:r w:rsidRPr="00721C2C">
        <w:rPr>
          <w:noProof w:val="0"/>
        </w:rPr>
        <w:t>i restul, p</w:t>
      </w:r>
      <w:r w:rsidR="00CD26EC">
        <w:rPr>
          <w:noProof w:val="0"/>
        </w:rPr>
        <w:t>â</w:t>
      </w:r>
      <w:r w:rsidRPr="00721C2C">
        <w:rPr>
          <w:noProof w:val="0"/>
        </w:rPr>
        <w:t>n</w:t>
      </w:r>
      <w:r w:rsidR="00CD26EC">
        <w:rPr>
          <w:noProof w:val="0"/>
        </w:rPr>
        <w:t>ă</w:t>
      </w:r>
      <w:r w:rsidRPr="00721C2C">
        <w:rPr>
          <w:noProof w:val="0"/>
        </w:rPr>
        <w:t xml:space="preserve"> la concurenta 100% din volumul total disponibil,  pe baza unui mecanism de alocare pro rata, definit astfel: </w:t>
      </w:r>
    </w:p>
    <w:p w14:paraId="79F83CD6" w14:textId="73D2B1F6" w:rsidR="00721C2C" w:rsidRPr="00721C2C" w:rsidRDefault="00CD26EC" w:rsidP="00ED18D4">
      <w:pPr>
        <w:pStyle w:val="ListParagraph"/>
        <w:numPr>
          <w:ilvl w:val="0"/>
          <w:numId w:val="176"/>
        </w:numPr>
        <w:rPr>
          <w:noProof w:val="0"/>
        </w:rPr>
      </w:pPr>
      <w:r>
        <w:rPr>
          <w:noProof w:val="0"/>
        </w:rPr>
        <w:t>î</w:t>
      </w:r>
      <w:r w:rsidR="00721C2C" w:rsidRPr="00721C2C">
        <w:rPr>
          <w:noProof w:val="0"/>
        </w:rPr>
        <w:t xml:space="preserve">n baza cererilor consumatorilor finali, acoperind integral solicitarile acestora pe perioada unui an contractual; </w:t>
      </w:r>
    </w:p>
    <w:p w14:paraId="4342D63A" w14:textId="1E60CB7A" w:rsidR="00721C2C" w:rsidRPr="00721C2C" w:rsidRDefault="00721C2C" w:rsidP="00ED18D4">
      <w:pPr>
        <w:pStyle w:val="ListParagraph"/>
        <w:numPr>
          <w:ilvl w:val="0"/>
          <w:numId w:val="176"/>
        </w:numPr>
        <w:rPr>
          <w:noProof w:val="0"/>
        </w:rPr>
      </w:pPr>
      <w:r w:rsidRPr="00721C2C">
        <w:rPr>
          <w:noProof w:val="0"/>
        </w:rPr>
        <w:t>alocare lunara a diferentei pe baza consumului inregistrat de fiecare consumator final aflat in portofoliul furnizorului pe parcursul unui an calendaristic</w:t>
      </w:r>
    </w:p>
    <w:p w14:paraId="249926DA" w14:textId="77777777" w:rsidR="006D09E0" w:rsidRPr="00721C2C" w:rsidRDefault="006D09E0" w:rsidP="00ED18D4">
      <w:pPr>
        <w:rPr>
          <w:noProof w:val="0"/>
        </w:rPr>
      </w:pPr>
    </w:p>
    <w:p w14:paraId="1C5178D5" w14:textId="599674FA" w:rsidR="00CD26EC" w:rsidRDefault="00CD26EC" w:rsidP="00ED18D4">
      <w:pPr>
        <w:pStyle w:val="Heading5"/>
      </w:pPr>
      <w:r>
        <w:t>La art. 19 după alin. (15) se introduc cinci noi alin. (16)-(20) cu următorul cuprins:</w:t>
      </w:r>
    </w:p>
    <w:p w14:paraId="7C9556D8" w14:textId="77777777" w:rsidR="00CD26EC" w:rsidRDefault="00CD26EC" w:rsidP="00ED18D4">
      <w:pPr>
        <w:rPr>
          <w:noProof w:val="0"/>
        </w:rPr>
      </w:pPr>
      <w:r>
        <w:rPr>
          <w:noProof w:val="0"/>
        </w:rPr>
        <w:t>(16) Regulamentul de emitere și urmărire a garanțiilor de origine pentru energia electrică produsă din surse regenerabile de energie, aprobat prin HG nr. 1232/2011, se abrogă la data intrării în vigoare a Ordinului ANRE de aprobare a Regulamentului de emitere și urmărire a garanțiilor de origine pentru energia electrică regenerabilă, menționat la alin. 3 lit. a).</w:t>
      </w:r>
    </w:p>
    <w:p w14:paraId="0831AA03" w14:textId="77777777" w:rsidR="00CD26EC" w:rsidRDefault="00CD26EC" w:rsidP="00ED18D4">
      <w:pPr>
        <w:rPr>
          <w:noProof w:val="0"/>
        </w:rPr>
      </w:pPr>
      <w:r>
        <w:rPr>
          <w:noProof w:val="0"/>
        </w:rPr>
        <w:t>(17) ANRE, în calitate de entitate emitentă a garanțiilor de origine, poate încheia acorduri cu alte organisme emitente sau asociații reprezentative ale organismelor emitente, inclusiv AIB, în vederea armonizării sistemelor de garanții de origine și a efectuării de transferuri transfrontaliere în format electronic;</w:t>
      </w:r>
    </w:p>
    <w:p w14:paraId="7453ED35" w14:textId="77777777" w:rsidR="00CD26EC" w:rsidRDefault="00CD26EC" w:rsidP="00ED18D4">
      <w:pPr>
        <w:rPr>
          <w:noProof w:val="0"/>
        </w:rPr>
      </w:pPr>
      <w:r>
        <w:rPr>
          <w:noProof w:val="0"/>
        </w:rPr>
        <w:t>(18) Până la data de 01.01.2025 ANRE întreprinde demersurile necesare pentru înscriere la AIB ca membru observator;</w:t>
      </w:r>
    </w:p>
    <w:p w14:paraId="52C00C54" w14:textId="77777777" w:rsidR="00CD26EC" w:rsidRDefault="00CD26EC" w:rsidP="00ED18D4">
      <w:pPr>
        <w:rPr>
          <w:noProof w:val="0"/>
        </w:rPr>
      </w:pPr>
      <w:r>
        <w:rPr>
          <w:noProof w:val="0"/>
        </w:rPr>
        <w:t>(19) În termen de 60 zile de la aprobarea prezentei ordonante, Ministerul Energiei va elabora si publica pe site-ul propriu o evaluare a impactului dechideri pieței destinate tranzacționării garanțiilor de origine, realizată într-un sistem standardizat uniform, recunoscut reciproc la nivelul Uniunii Europene.</w:t>
      </w:r>
    </w:p>
    <w:p w14:paraId="7D332D4F" w14:textId="2CA5D8F2" w:rsidR="00204B5E" w:rsidRPr="00721C2C" w:rsidRDefault="00CD26EC" w:rsidP="00ED18D4">
      <w:pPr>
        <w:rPr>
          <w:noProof w:val="0"/>
        </w:rPr>
      </w:pPr>
      <w:r>
        <w:rPr>
          <w:noProof w:val="0"/>
        </w:rPr>
        <w:t>(20) În cuprinsul etichetelor, ofertelor, contractelor de vânzare-cumpărare, furnizare, agregare sau alte documente specifice, atunci când se face referire energie electrică și termică din surse regenerabile, gaz și hidrogen, acestea se vor proba prin garanții de origine specifice.</w:t>
      </w:r>
    </w:p>
    <w:p w14:paraId="54C40D15" w14:textId="25252BD1" w:rsidR="00EF639F" w:rsidRDefault="00EF639F" w:rsidP="00ED18D4">
      <w:pPr>
        <w:pStyle w:val="Heading5"/>
      </w:pPr>
      <w:r>
        <w:t>După art. 20 se introduce un nou art. (20^1) cu următorul cuprins:</w:t>
      </w:r>
    </w:p>
    <w:p w14:paraId="0036D2B2" w14:textId="77777777" w:rsidR="00EF639F" w:rsidRDefault="00EF639F" w:rsidP="00ED18D4">
      <w:pPr>
        <w:rPr>
          <w:noProof w:val="0"/>
        </w:rPr>
      </w:pPr>
      <w:r>
        <w:rPr>
          <w:noProof w:val="0"/>
        </w:rPr>
        <w:t>(1)</w:t>
      </w:r>
      <w:r>
        <w:rPr>
          <w:noProof w:val="0"/>
        </w:rPr>
        <w:tab/>
        <w:t xml:space="preserve"> CNTEE și operatorii de distribuție pun la dispoziția ANRE date privind ponderea energiei electrice din surse regenerabile și conținutul de emisii de gaze cu efect de seră din energia electrică furnizată în fiecare zonă de ofertare pentru fiecare interval de decontare, conform reglementărilor ANRE. </w:t>
      </w:r>
    </w:p>
    <w:p w14:paraId="523DB800" w14:textId="77777777" w:rsidR="00EF639F" w:rsidRDefault="00EF639F" w:rsidP="00ED18D4">
      <w:pPr>
        <w:rPr>
          <w:noProof w:val="0"/>
        </w:rPr>
      </w:pPr>
      <w:r>
        <w:rPr>
          <w:noProof w:val="0"/>
        </w:rPr>
        <w:t>(2)</w:t>
      </w:r>
      <w:r>
        <w:rPr>
          <w:noProof w:val="0"/>
        </w:rPr>
        <w:tab/>
        <w:t xml:space="preserve">CNTEE și operatorii de distribuție pun la dispoziția ANRE previziuni cu privire la datele prevăzute la alin. (1), dacă sunt acestea sunt disponibile.  </w:t>
      </w:r>
    </w:p>
    <w:p w14:paraId="24C8C0D4" w14:textId="77777777" w:rsidR="00EF639F" w:rsidRDefault="00EF639F" w:rsidP="00ED18D4">
      <w:pPr>
        <w:rPr>
          <w:noProof w:val="0"/>
        </w:rPr>
      </w:pPr>
      <w:r>
        <w:rPr>
          <w:noProof w:val="0"/>
        </w:rPr>
        <w:t>(3)</w:t>
      </w:r>
      <w:r>
        <w:rPr>
          <w:noProof w:val="0"/>
        </w:rPr>
        <w:tab/>
        <w:t xml:space="preserve"> În cazul în care operatorii de distribuție nu au acces la datele necesare în temeiul alin. (1), aceștia aplică sistemul existent de raportare a datelor în cadrul Rețelei europene a operatorilor de sisteme de transport de energie electrică, în conformitate cu Legea nr. 123/2012 cu modificările și completările ulterioare.</w:t>
      </w:r>
    </w:p>
    <w:p w14:paraId="449A4B4C" w14:textId="77777777" w:rsidR="00EF639F" w:rsidRDefault="00EF639F" w:rsidP="00ED18D4">
      <w:pPr>
        <w:rPr>
          <w:noProof w:val="0"/>
        </w:rPr>
      </w:pPr>
      <w:r>
        <w:rPr>
          <w:noProof w:val="0"/>
        </w:rPr>
        <w:lastRenderedPageBreak/>
        <w:t>(4)</w:t>
      </w:r>
      <w:r>
        <w:rPr>
          <w:noProof w:val="0"/>
        </w:rPr>
        <w:tab/>
        <w:t xml:space="preserve"> Ministerul de resort în colaborare cu SGG oferă stimulente pentru modernizarea rețelelor inteligente în scopul îmbunătățirii monitorizării echilibrului rețelei și al punerii la dispoziție de informații în timp real. </w:t>
      </w:r>
    </w:p>
    <w:p w14:paraId="6E478AFB" w14:textId="77777777" w:rsidR="00EF639F" w:rsidRDefault="00EF639F" w:rsidP="00ED18D4">
      <w:pPr>
        <w:rPr>
          <w:noProof w:val="0"/>
        </w:rPr>
      </w:pPr>
      <w:r>
        <w:rPr>
          <w:noProof w:val="0"/>
        </w:rPr>
        <w:t>(5)</w:t>
      </w:r>
      <w:r>
        <w:rPr>
          <w:noProof w:val="0"/>
        </w:rPr>
        <w:tab/>
        <w:t>Acolo unde există disponibilitatea tehnică, operatorii de distribuție pun la dispoziția ANRE date anonimizate și agregate privind potențialul de răspuns la variațiile cererii și energia electrică din surse regenerabile produsă și injectată în rețea de autoconsumatori și de comunitățile de energie din surse regenerabile.</w:t>
      </w:r>
    </w:p>
    <w:p w14:paraId="5CFF68F4" w14:textId="77777777" w:rsidR="00EF639F" w:rsidRDefault="00EF639F" w:rsidP="00ED18D4">
      <w:pPr>
        <w:rPr>
          <w:noProof w:val="0"/>
        </w:rPr>
      </w:pPr>
      <w:r>
        <w:rPr>
          <w:noProof w:val="0"/>
        </w:rPr>
        <w:t>(6)</w:t>
      </w:r>
      <w:r>
        <w:rPr>
          <w:noProof w:val="0"/>
        </w:rPr>
        <w:tab/>
        <w:t>În vederea aplicării prevederilor alin. (1)-(3) se vor avea în vedere următoarele:</w:t>
      </w:r>
    </w:p>
    <w:p w14:paraId="4D6A492F" w14:textId="79D9E456" w:rsidR="00EF639F" w:rsidRDefault="00EF639F" w:rsidP="00ED18D4">
      <w:pPr>
        <w:pStyle w:val="ListParagraph"/>
        <w:numPr>
          <w:ilvl w:val="0"/>
          <w:numId w:val="177"/>
        </w:numPr>
        <w:rPr>
          <w:noProof w:val="0"/>
        </w:rPr>
      </w:pPr>
      <w:r>
        <w:rPr>
          <w:noProof w:val="0"/>
        </w:rPr>
        <w:t>datele menționate se pun la dispoziția ANRE în format digital, într-un mod care să asigure interoperabilitatea pe baza unor formate armonizate pentru date și a unor seturi de date standardizate,</w:t>
      </w:r>
    </w:p>
    <w:p w14:paraId="0186632D" w14:textId="37E8F607" w:rsidR="00EF639F" w:rsidRDefault="00EF639F" w:rsidP="00ED18D4">
      <w:pPr>
        <w:pStyle w:val="ListParagraph"/>
        <w:numPr>
          <w:ilvl w:val="0"/>
          <w:numId w:val="177"/>
        </w:numPr>
        <w:rPr>
          <w:noProof w:val="0"/>
        </w:rPr>
      </w:pPr>
      <w:r>
        <w:rPr>
          <w:noProof w:val="0"/>
        </w:rPr>
        <w:t xml:space="preserve">ANRE publică datele menționate astfel încât să poată fi utilizate în mod nediscriminatoriu de participanții la piața de energie electrică, de agregatori, de consumatori și de utilizatorii finali </w:t>
      </w:r>
    </w:p>
    <w:p w14:paraId="1B975352" w14:textId="77777777" w:rsidR="00EF639F" w:rsidRDefault="00EF639F" w:rsidP="00ED18D4">
      <w:pPr>
        <w:rPr>
          <w:noProof w:val="0"/>
        </w:rPr>
      </w:pPr>
    </w:p>
    <w:p w14:paraId="17643D72" w14:textId="77777777" w:rsidR="00EF639F" w:rsidRDefault="00EF639F" w:rsidP="00ED18D4">
      <w:pPr>
        <w:rPr>
          <w:noProof w:val="0"/>
        </w:rPr>
      </w:pPr>
      <w:r>
        <w:rPr>
          <w:noProof w:val="0"/>
        </w:rPr>
        <w:t>(7)</w:t>
      </w:r>
      <w:r>
        <w:rPr>
          <w:noProof w:val="0"/>
        </w:rPr>
        <w:tab/>
        <w:t xml:space="preserve">Suplimentar prevederilor Regulamentului (UE) 2023/1542, ASRO se asigură prin standardele emise destinate producătorilor de baterii de uz casnic și industrial se asigură că acestea permit accesul în timp real la informațiile de bază privind sistemul de gestionare a bateriilor, inclusiv privind capacitatea, starea de sănătate, nivelul de încărcare și valoarea de referință a puterii bateriilor, pentru proprietarii și utilizatorii bateriilor, precum și pentru părțile terțe care acționează, cu consimțământul explicit al acestora, în numele lor, cum ar fi întreprinderile de gestionare a energiei din clădiri și participanții la piața de energie electrică, în condiții nediscriminatorii, fără costuri și în conformitate cu normele de protecție a datelor.  </w:t>
      </w:r>
    </w:p>
    <w:p w14:paraId="431B71AD" w14:textId="77777777" w:rsidR="00EF639F" w:rsidRDefault="00EF639F" w:rsidP="00ED18D4">
      <w:pPr>
        <w:rPr>
          <w:noProof w:val="0"/>
        </w:rPr>
      </w:pPr>
      <w:r>
        <w:rPr>
          <w:noProof w:val="0"/>
        </w:rPr>
        <w:t>(8)</w:t>
      </w:r>
      <w:r>
        <w:rPr>
          <w:noProof w:val="0"/>
        </w:rPr>
        <w:tab/>
        <w:t>MEAT adoptă măsuri pentru ca producătorii de vehicule să pună la dispoziție, în timp real, date de la bordul vehiculului privind starea de sănătate a bateriei, nivelul de încărcare a bateriei, punctul de setare a puterii bateriei, capacitatea bateriei, și, dacă este cazul, locul în care se află vehiculele electrice, proprietarilor și utilizatorilor de vehicule electrice, precum și părților terțe care acționează în numele proprietarilor și utilizatorilor, precum participanții la piața de energie electrică și furnizorii de servicii de electromobilitate, în condiții nediscriminatorii și fără costuri, în conformitate cu normele de protecție a datelor și în plus față de cerințele suplimentare privind omologarea de tip și supravegherea pieței prevăzute în Regulamentul (UE) 2018/858 al Parlamentului European și al Consiliului.</w:t>
      </w:r>
    </w:p>
    <w:p w14:paraId="1EFE0A80" w14:textId="5FAE2CD5" w:rsidR="00EF639F" w:rsidRDefault="00EF639F" w:rsidP="00ED18D4">
      <w:pPr>
        <w:rPr>
          <w:noProof w:val="0"/>
        </w:rPr>
      </w:pPr>
      <w:r>
        <w:rPr>
          <w:noProof w:val="0"/>
        </w:rPr>
        <w:t>(9)</w:t>
      </w:r>
      <w:r>
        <w:rPr>
          <w:noProof w:val="0"/>
        </w:rPr>
        <w:tab/>
        <w:t>Suplimentar prevederilor Regulamentului (UE) 2023/1804, MEAT se asigură că punctele de reîncărcare de putere normală, noi sau înlocuite, care nu sunt accesibile publicului și sunt instalate pot accepta funcționalități de reîncărcare inteligentă și, după caz, interfața cu sistemele de contorizare inteligentă, atunci când sunt instalate, precum și funcționalități de reîncărcare bidirecțională în conformitate cu cerințele de la articolul 15 alineatele (3) și (4) din regulament.</w:t>
      </w:r>
    </w:p>
    <w:p w14:paraId="0DD073C9" w14:textId="25032927" w:rsidR="00EF639F" w:rsidRDefault="00EF639F" w:rsidP="00ED18D4">
      <w:pPr>
        <w:rPr>
          <w:noProof w:val="0"/>
        </w:rPr>
      </w:pPr>
      <w:r>
        <w:rPr>
          <w:noProof w:val="0"/>
        </w:rPr>
        <w:t>(10)</w:t>
      </w:r>
      <w:r>
        <w:rPr>
          <w:noProof w:val="0"/>
        </w:rPr>
        <w:tab/>
      </w:r>
      <w:r w:rsidR="0033485F">
        <w:rPr>
          <w:noProof w:val="0"/>
        </w:rPr>
        <w:t xml:space="preserve"> </w:t>
      </w:r>
      <w:r>
        <w:rPr>
          <w:noProof w:val="0"/>
        </w:rPr>
        <w:t xml:space="preserve">Suplimentar prevederilor Regulamentului (UE) 2019/943 și în Legea nr. 123/2012 cu modificările și completările ulterioare, sistemele mici sau mobile, cum ar fi bateriile de uz casnic și vehiculele electrice, precum și alte resurse de energie mici și descentralizate, pot </w:t>
      </w:r>
      <w:r>
        <w:rPr>
          <w:noProof w:val="0"/>
        </w:rPr>
        <w:lastRenderedPageBreak/>
        <w:t>participa la piețele de energie electrică, inclusiv la gestionarea congestiilor și furnizarea de servicii de flexibilitate și de echilibrare, inclusiv prin agregare.</w:t>
      </w:r>
    </w:p>
    <w:p w14:paraId="10F68D36" w14:textId="77777777" w:rsidR="00EF639F" w:rsidRDefault="00EF639F" w:rsidP="00ED18D4">
      <w:pPr>
        <w:rPr>
          <w:noProof w:val="0"/>
        </w:rPr>
      </w:pPr>
      <w:r>
        <w:rPr>
          <w:noProof w:val="0"/>
        </w:rPr>
        <w:t>(11)</w:t>
      </w:r>
      <w:r>
        <w:rPr>
          <w:noProof w:val="0"/>
        </w:rPr>
        <w:tab/>
        <w:t xml:space="preserve"> În vederea aplicării prevederilor alin. (1) autoritățile competente, în strânsă cooperare cu toți participanții la piață și cu Autoritatea Națională de Reglementare în domeniul Energiei, stabilesc cerințele tehnice pentru participarea la piețele de energie electrică, pe baza caracteristicilor tehnice ale sistemelor în cauză. </w:t>
      </w:r>
    </w:p>
    <w:p w14:paraId="4B2CC4FE" w14:textId="054E77EA" w:rsidR="00204B5E" w:rsidRDefault="00EF639F" w:rsidP="00ED18D4">
      <w:pPr>
        <w:rPr>
          <w:noProof w:val="0"/>
        </w:rPr>
      </w:pPr>
      <w:r>
        <w:rPr>
          <w:noProof w:val="0"/>
        </w:rPr>
        <w:t>(12)</w:t>
      </w:r>
      <w:r>
        <w:rPr>
          <w:noProof w:val="0"/>
        </w:rPr>
        <w:tab/>
      </w:r>
      <w:r w:rsidR="0033485F">
        <w:rPr>
          <w:noProof w:val="0"/>
        </w:rPr>
        <w:t xml:space="preserve"> </w:t>
      </w:r>
      <w:r>
        <w:rPr>
          <w:noProof w:val="0"/>
        </w:rPr>
        <w:t>ANRE, CNTEE Transelectrica, în colaborare cu operatorii desemnați ai piețelor de energie electrică asigură condiții de concurență echitabile și o participare nediscriminatorie la piața de energie electrică pentru activele energetice descentralizate mici sau sistemele mobile.</w:t>
      </w:r>
    </w:p>
    <w:p w14:paraId="73637C89" w14:textId="2EA55B93" w:rsidR="0033485F" w:rsidRDefault="0033485F" w:rsidP="00ED18D4">
      <w:pPr>
        <w:pStyle w:val="Heading5"/>
      </w:pPr>
      <w:r>
        <w:t>La art. 21 alin. (7) se modifică și va avea următorul cuprins:</w:t>
      </w:r>
    </w:p>
    <w:p w14:paraId="5624029F" w14:textId="4AAD8A15" w:rsidR="0033485F" w:rsidRPr="00721C2C" w:rsidRDefault="0033485F" w:rsidP="00ED18D4">
      <w:pPr>
        <w:rPr>
          <w:noProof w:val="0"/>
        </w:rPr>
      </w:pPr>
      <w:r>
        <w:rPr>
          <w:noProof w:val="0"/>
        </w:rPr>
        <w:t>(7) În conformitate cu prevederile Regulamentului (UE) 2018/1.999, în planul național integrat privind energia și clima și în rapoartele intermediare se includ un rezumat al politicilor și măsurilor adoptate în temeiul cadrului favorabil prevăzut la alin. (6), precum și o evaluare a impactului punerii lor în aplicare.</w:t>
      </w:r>
    </w:p>
    <w:p w14:paraId="5ABE695A" w14:textId="77777777" w:rsidR="00204B5E" w:rsidRDefault="00204B5E" w:rsidP="00ED18D4">
      <w:pPr>
        <w:rPr>
          <w:noProof w:val="0"/>
        </w:rPr>
      </w:pPr>
    </w:p>
    <w:p w14:paraId="22E244A0" w14:textId="5D6632C7" w:rsidR="0033485F" w:rsidRDefault="0033485F" w:rsidP="00ED18D4">
      <w:pPr>
        <w:pStyle w:val="Heading5"/>
      </w:pPr>
      <w:r>
        <w:t>(După art. 22  se introduc două noi art. (22^1) și (22^2) cu următorul cuprins:</w:t>
      </w:r>
    </w:p>
    <w:p w14:paraId="19081431" w14:textId="155BEBBD" w:rsidR="0033485F" w:rsidRDefault="0033485F" w:rsidP="00ED18D4">
      <w:pPr>
        <w:rPr>
          <w:noProof w:val="0"/>
        </w:rPr>
      </w:pPr>
      <w:r w:rsidRPr="0033485F">
        <w:rPr>
          <w:b/>
          <w:bCs/>
          <w:noProof w:val="0"/>
        </w:rPr>
        <w:t>Art. 22^1</w:t>
      </w:r>
      <w:r>
        <w:rPr>
          <w:noProof w:val="0"/>
        </w:rPr>
        <w:t xml:space="preserve"> - (1)</w:t>
      </w:r>
      <w:r w:rsidR="00043E61">
        <w:rPr>
          <w:noProof w:val="0"/>
        </w:rPr>
        <w:t xml:space="preserve"> </w:t>
      </w:r>
      <w:r>
        <w:rPr>
          <w:noProof w:val="0"/>
        </w:rPr>
        <w:t>Pentru promovarea utilizării surselor regenerabile în cantitatea de surse de energie utilizate în scopuri energetice și neenergetice finale în sectorul industrial se are în vedere o creștere orientativă de cel puțin 1,6 puncte procentuale ca medie anuală calculată pentru perioadele 2021-2025 și 2026-2030.</w:t>
      </w:r>
    </w:p>
    <w:p w14:paraId="65FB5F89" w14:textId="77777777" w:rsidR="0033485F" w:rsidRDefault="0033485F" w:rsidP="00ED18D4">
      <w:pPr>
        <w:rPr>
          <w:noProof w:val="0"/>
        </w:rPr>
      </w:pPr>
      <w:r>
        <w:rPr>
          <w:noProof w:val="0"/>
        </w:rPr>
        <w:t>(2)</w:t>
      </w:r>
      <w:r>
        <w:rPr>
          <w:noProof w:val="0"/>
        </w:rPr>
        <w:tab/>
        <w:t>Se pot include căldura și răcoarea reziduale în calculul creșterii orientative prevăzută la alin.(1) până la o limită de 0,4 puncte procentuale, cu condiția ca căldura și răcoarea reziduale să fie furnizate din sisteme eficiente de încălzire și răcire centralizată, cu excepția rețelelor care furnizează căldură doar unei singure clădiri sau în cazul în care întreaga energie termică este consumată doar in situ și dacă energia termică nu este vândută.</w:t>
      </w:r>
    </w:p>
    <w:p w14:paraId="778CEC66" w14:textId="77777777" w:rsidR="0033485F" w:rsidRDefault="0033485F" w:rsidP="00ED18D4">
      <w:pPr>
        <w:rPr>
          <w:noProof w:val="0"/>
        </w:rPr>
      </w:pPr>
      <w:r>
        <w:rPr>
          <w:noProof w:val="0"/>
        </w:rPr>
        <w:t>(3)</w:t>
      </w:r>
      <w:r>
        <w:rPr>
          <w:noProof w:val="0"/>
        </w:rPr>
        <w:tab/>
        <w:t xml:space="preserve">În vederea aplicării alin. (2) creșterea orientativă prevăzută la alin. (1) crește cu jumătate din punctele procentuale utilizate pentru căldura și răcoarea reziduale. </w:t>
      </w:r>
    </w:p>
    <w:p w14:paraId="7455F8E4" w14:textId="77777777" w:rsidR="0033485F" w:rsidRDefault="0033485F" w:rsidP="00ED18D4">
      <w:pPr>
        <w:rPr>
          <w:noProof w:val="0"/>
        </w:rPr>
      </w:pPr>
      <w:r>
        <w:rPr>
          <w:noProof w:val="0"/>
        </w:rPr>
        <w:t>(4)</w:t>
      </w:r>
      <w:r>
        <w:rPr>
          <w:noProof w:val="0"/>
        </w:rPr>
        <w:tab/>
        <w:t>MEAT transmite ministerului de resort măsurile și politicile planificate și adoptate pentru a realiza o astfel de creștere orientativă în scopul includerii în PNIESC și în rapoartele naționale intermediare integrate privind energia și clima.</w:t>
      </w:r>
    </w:p>
    <w:p w14:paraId="213A3C24" w14:textId="026F71BA" w:rsidR="0033485F" w:rsidRDefault="0033485F" w:rsidP="00ED18D4">
      <w:pPr>
        <w:rPr>
          <w:noProof w:val="0"/>
        </w:rPr>
      </w:pPr>
      <w:r>
        <w:rPr>
          <w:noProof w:val="0"/>
        </w:rPr>
        <w:t>(5)</w:t>
      </w:r>
      <w:r>
        <w:rPr>
          <w:noProof w:val="0"/>
        </w:rPr>
        <w:tab/>
        <w:t xml:space="preserve">Atunci când electrificarea este luată în considerare ca o opțiune eficientă din punctul de vedere al costurilor, politicile și măsurile respective promovează electrificarea bazată pe surse regenerabile a proceselor industriale.  </w:t>
      </w:r>
    </w:p>
    <w:p w14:paraId="5221E78D" w14:textId="77777777" w:rsidR="0033485F" w:rsidRDefault="0033485F" w:rsidP="00ED18D4">
      <w:pPr>
        <w:rPr>
          <w:noProof w:val="0"/>
        </w:rPr>
      </w:pPr>
      <w:r>
        <w:rPr>
          <w:noProof w:val="0"/>
        </w:rPr>
        <w:t>(6)</w:t>
      </w:r>
      <w:r>
        <w:rPr>
          <w:noProof w:val="0"/>
        </w:rPr>
        <w:tab/>
        <w:t>Politicile și măsurile respective creează condiții de piață favorabile pentru disponibilitatea unor alternative de energie din surse regenerabile viabile din punct de vedere economic și fezabile din punct de vedere tehnic pentru a înlocui combustibilii fosili utilizați pentru încălzirea industrială, cu scopul de a reduce utilizarea combustibililor fosili utilizați pentru încălzire la o temperatură mai mică de 200 °C.</w:t>
      </w:r>
    </w:p>
    <w:p w14:paraId="79BCE815" w14:textId="77777777" w:rsidR="0033485F" w:rsidRDefault="0033485F" w:rsidP="00ED18D4">
      <w:pPr>
        <w:rPr>
          <w:noProof w:val="0"/>
        </w:rPr>
      </w:pPr>
      <w:r>
        <w:rPr>
          <w:noProof w:val="0"/>
        </w:rPr>
        <w:t>(7)</w:t>
      </w:r>
      <w:r>
        <w:rPr>
          <w:noProof w:val="0"/>
        </w:rPr>
        <w:tab/>
        <w:t xml:space="preserve">La adoptarea politicilor și măsurilor prevăzute la alin. (4) se va lua în considerare principiul „eficiența energetică înainte de toate”, eficacitatea și competitivitatea internațională și </w:t>
      </w:r>
      <w:r>
        <w:rPr>
          <w:noProof w:val="0"/>
        </w:rPr>
        <w:lastRenderedPageBreak/>
        <w:t xml:space="preserve">nevoia de a lua măsuri în legătură cu barierele de reglementare, administrative și economice. </w:t>
      </w:r>
    </w:p>
    <w:p w14:paraId="5F2061FE" w14:textId="77777777" w:rsidR="0033485F" w:rsidRDefault="0033485F" w:rsidP="00ED18D4">
      <w:pPr>
        <w:rPr>
          <w:noProof w:val="0"/>
        </w:rPr>
      </w:pPr>
      <w:r>
        <w:rPr>
          <w:noProof w:val="0"/>
        </w:rPr>
        <w:t>(8)</w:t>
      </w:r>
      <w:r>
        <w:rPr>
          <w:noProof w:val="0"/>
        </w:rPr>
        <w:tab/>
        <w:t xml:space="preserve">Până în 2030, contribuția combustibililor din surse regenerabile de origine nebiologică utilizați în scopuri energetice și neenergetice finale este de cel puțin 42 % din hidrogenul utilizat în industrie în scopuri energetice și neenergetice finale și de cel puțin 60 % până în 2035. </w:t>
      </w:r>
    </w:p>
    <w:p w14:paraId="785C2A8E" w14:textId="77777777" w:rsidR="0033485F" w:rsidRDefault="0033485F" w:rsidP="00ED18D4">
      <w:pPr>
        <w:rPr>
          <w:noProof w:val="0"/>
        </w:rPr>
      </w:pPr>
      <w:r>
        <w:rPr>
          <w:noProof w:val="0"/>
        </w:rPr>
        <w:t>(9)</w:t>
      </w:r>
      <w:r>
        <w:rPr>
          <w:noProof w:val="0"/>
        </w:rPr>
        <w:tab/>
        <w:t xml:space="preserve">Pentru calcularea contribuției combustibililor din surse regenerabile de origine nebiologică utilizați în industrie în scopuri energetice și neenergetice finale, se aplică următoarele reguli: </w:t>
      </w:r>
    </w:p>
    <w:p w14:paraId="02D98F43" w14:textId="0EF9E635" w:rsidR="0033485F" w:rsidRDefault="0033485F" w:rsidP="00ED18D4">
      <w:pPr>
        <w:pStyle w:val="ListParagraph"/>
        <w:numPr>
          <w:ilvl w:val="0"/>
          <w:numId w:val="178"/>
        </w:numPr>
        <w:rPr>
          <w:noProof w:val="0"/>
        </w:rPr>
      </w:pPr>
      <w:r>
        <w:rPr>
          <w:noProof w:val="0"/>
        </w:rPr>
        <w:t xml:space="preserve">pentru calcularea numitorului, se ia în considerare conținutul energetic al hidrogenului pentru scopuri energetice și neenergetice finale, cu excepția: </w:t>
      </w:r>
    </w:p>
    <w:p w14:paraId="6F59B29C" w14:textId="41155F8D" w:rsidR="0033485F" w:rsidRDefault="0033485F" w:rsidP="00ED18D4">
      <w:pPr>
        <w:pStyle w:val="ListParagraph"/>
        <w:numPr>
          <w:ilvl w:val="0"/>
          <w:numId w:val="179"/>
        </w:numPr>
        <w:rPr>
          <w:noProof w:val="0"/>
        </w:rPr>
      </w:pPr>
      <w:r>
        <w:rPr>
          <w:noProof w:val="0"/>
        </w:rPr>
        <w:t xml:space="preserve">hidrogenului utilizat drept produs intermediar pentru producția de combustibili convenționali pentru transport și de biocombustibili; </w:t>
      </w:r>
    </w:p>
    <w:p w14:paraId="5F26107F" w14:textId="3B9CF0BE" w:rsidR="0033485F" w:rsidRDefault="0033485F" w:rsidP="00ED18D4">
      <w:pPr>
        <w:pStyle w:val="ListParagraph"/>
        <w:numPr>
          <w:ilvl w:val="0"/>
          <w:numId w:val="179"/>
        </w:numPr>
        <w:rPr>
          <w:noProof w:val="0"/>
        </w:rPr>
      </w:pPr>
      <w:r>
        <w:rPr>
          <w:noProof w:val="0"/>
        </w:rPr>
        <w:t xml:space="preserve">hidrogenului care este produs prin decarbonizarea gazelor industriale reziduale și este utilizat pentru a înlocui gazele specifice din care este produs; </w:t>
      </w:r>
    </w:p>
    <w:p w14:paraId="5253B26D" w14:textId="348F9D34" w:rsidR="0033485F" w:rsidRDefault="0033485F" w:rsidP="00ED18D4">
      <w:pPr>
        <w:pStyle w:val="ListParagraph"/>
        <w:numPr>
          <w:ilvl w:val="0"/>
          <w:numId w:val="179"/>
        </w:numPr>
        <w:rPr>
          <w:noProof w:val="0"/>
        </w:rPr>
      </w:pPr>
      <w:r>
        <w:rPr>
          <w:noProof w:val="0"/>
        </w:rPr>
        <w:t xml:space="preserve">hidrogenului produs ca subprodus sau derivat din subproduse în instalații industriale; </w:t>
      </w:r>
    </w:p>
    <w:p w14:paraId="6FF0D4B7" w14:textId="479B3B3D" w:rsidR="0033485F" w:rsidRDefault="0033485F" w:rsidP="00ED18D4">
      <w:pPr>
        <w:pStyle w:val="ListParagraph"/>
        <w:numPr>
          <w:ilvl w:val="0"/>
          <w:numId w:val="178"/>
        </w:numPr>
        <w:rPr>
          <w:noProof w:val="0"/>
        </w:rPr>
      </w:pPr>
      <w:r>
        <w:rPr>
          <w:noProof w:val="0"/>
        </w:rPr>
        <w:t>pentru calcularea numărătorului, se ia în considerare conținutul energetic al combustibililor din surse regenerabile de origine nebiologică consumați în sectorul industrial în scopuri energetice și neenergetice finale, cu excepția combustibililor din surse regenerabile de origine nebiologică utilizați drept produs intermediar pentru producția de combustibili convenționali pentru transport și de biocombustibili;</w:t>
      </w:r>
    </w:p>
    <w:p w14:paraId="051D5783" w14:textId="2005CB97" w:rsidR="0033485F" w:rsidRDefault="0033485F" w:rsidP="00ED18D4">
      <w:pPr>
        <w:pStyle w:val="ListParagraph"/>
        <w:numPr>
          <w:ilvl w:val="0"/>
          <w:numId w:val="178"/>
        </w:numPr>
        <w:rPr>
          <w:noProof w:val="0"/>
        </w:rPr>
      </w:pPr>
      <w:r>
        <w:rPr>
          <w:noProof w:val="0"/>
        </w:rPr>
        <w:t xml:space="preserve">pentru calcularea numărătorului și a numitorului, se utilizează valorile privind conținutul energetic al combustibililor stabilite în anexa nr. 2. </w:t>
      </w:r>
    </w:p>
    <w:p w14:paraId="51B2E6C6" w14:textId="196016EE" w:rsidR="0033485F" w:rsidRDefault="0033485F" w:rsidP="00ED18D4">
      <w:pPr>
        <w:rPr>
          <w:noProof w:val="0"/>
        </w:rPr>
      </w:pPr>
      <w:r>
        <w:rPr>
          <w:noProof w:val="0"/>
        </w:rPr>
        <w:t>(10)</w:t>
      </w:r>
      <w:r>
        <w:rPr>
          <w:noProof w:val="0"/>
        </w:rPr>
        <w:tab/>
      </w:r>
      <w:r w:rsidR="001C6B96">
        <w:rPr>
          <w:noProof w:val="0"/>
        </w:rPr>
        <w:t xml:space="preserve"> </w:t>
      </w:r>
      <w:r>
        <w:rPr>
          <w:noProof w:val="0"/>
        </w:rPr>
        <w:t>În sensul alin. (9) lit. c) pentru stabilirea conținutului energetic al combustibililor care nu sunt incluși în anexa nr. 2, se utilizează standardele europene relevante pentru determinarea puterii calorifice a combustibililor, sau, în cazul în care nu a fost adoptat în acest sens niciun standard european, standardele ISO relevante.</w:t>
      </w:r>
    </w:p>
    <w:p w14:paraId="1E234CC8" w14:textId="165C6F59" w:rsidR="0033485F" w:rsidRDefault="0033485F" w:rsidP="00ED18D4">
      <w:pPr>
        <w:rPr>
          <w:noProof w:val="0"/>
        </w:rPr>
      </w:pPr>
      <w:r>
        <w:rPr>
          <w:noProof w:val="0"/>
        </w:rPr>
        <w:t>(11)</w:t>
      </w:r>
      <w:r>
        <w:rPr>
          <w:noProof w:val="0"/>
        </w:rPr>
        <w:tab/>
      </w:r>
      <w:r w:rsidR="001C6B96">
        <w:rPr>
          <w:noProof w:val="0"/>
        </w:rPr>
        <w:t xml:space="preserve"> </w:t>
      </w:r>
      <w:r>
        <w:rPr>
          <w:noProof w:val="0"/>
        </w:rPr>
        <w:t xml:space="preserve">Autoritățile competente promovează mecanisme voluntare de etichetare pentru produsele industriale despre care se pretinde că sunt produse cu energie din surse regenerabile și combustibili din surse regenerabile de origine nebiologică. </w:t>
      </w:r>
    </w:p>
    <w:p w14:paraId="4B455ACA" w14:textId="7328565C" w:rsidR="0033485F" w:rsidRDefault="0033485F" w:rsidP="00ED18D4">
      <w:pPr>
        <w:rPr>
          <w:noProof w:val="0"/>
        </w:rPr>
      </w:pPr>
      <w:r>
        <w:rPr>
          <w:noProof w:val="0"/>
        </w:rPr>
        <w:t>(12)</w:t>
      </w:r>
      <w:r>
        <w:rPr>
          <w:noProof w:val="0"/>
        </w:rPr>
        <w:tab/>
      </w:r>
      <w:r w:rsidR="001C6B96">
        <w:rPr>
          <w:noProof w:val="0"/>
        </w:rPr>
        <w:t xml:space="preserve"> </w:t>
      </w:r>
      <w:r>
        <w:rPr>
          <w:noProof w:val="0"/>
        </w:rPr>
        <w:t>Astfel de mecanisme voluntare de etichetare indică procentul de energie regenerabilă utilizată sau de combustibili din surse regenerabile de origine nebiologică utilizați în etapa de achiziție și operațiuni anterioare prelucrării aferente materiilor prime, de fabricație și de distribuție, calculat pe baza metodologiilor prevăzute fie în Recomandarea (UE) 2021/2279 a Comisiei, fie în ISO 14067:2018.</w:t>
      </w:r>
    </w:p>
    <w:p w14:paraId="53564858" w14:textId="4BDCCA25" w:rsidR="0033485F" w:rsidRDefault="0033485F" w:rsidP="00ED18D4">
      <w:pPr>
        <w:rPr>
          <w:noProof w:val="0"/>
        </w:rPr>
      </w:pPr>
      <w:r>
        <w:rPr>
          <w:noProof w:val="0"/>
        </w:rPr>
        <w:t>(13)</w:t>
      </w:r>
      <w:r>
        <w:rPr>
          <w:noProof w:val="0"/>
        </w:rPr>
        <w:tab/>
      </w:r>
      <w:r w:rsidR="001A4069">
        <w:rPr>
          <w:noProof w:val="0"/>
        </w:rPr>
        <w:t xml:space="preserve"> </w:t>
      </w:r>
      <w:r>
        <w:rPr>
          <w:noProof w:val="0"/>
        </w:rPr>
        <w:t xml:space="preserve">Ministerul de resort include cantitatea de combustibili de origine nebiologică din surse regenerabile pe care estimează că o vor importa și exporta în </w:t>
      </w:r>
      <w:r w:rsidR="00E63297">
        <w:rPr>
          <w:noProof w:val="0"/>
        </w:rPr>
        <w:t xml:space="preserve">actualizarea </w:t>
      </w:r>
      <w:r>
        <w:rPr>
          <w:noProof w:val="0"/>
        </w:rPr>
        <w:t xml:space="preserve">PNIESC, precum și în rapoartele naționale intermediare integrate privind energia și clima. </w:t>
      </w:r>
    </w:p>
    <w:p w14:paraId="09AF4413" w14:textId="7043C195" w:rsidR="0033485F" w:rsidRPr="00721C2C" w:rsidRDefault="0033485F" w:rsidP="00ED18D4">
      <w:pPr>
        <w:rPr>
          <w:noProof w:val="0"/>
        </w:rPr>
      </w:pPr>
      <w:r>
        <w:rPr>
          <w:noProof w:val="0"/>
        </w:rPr>
        <w:t>(14)</w:t>
      </w:r>
      <w:r>
        <w:rPr>
          <w:noProof w:val="0"/>
        </w:rPr>
        <w:tab/>
      </w:r>
      <w:r w:rsidR="001A4069">
        <w:rPr>
          <w:noProof w:val="0"/>
        </w:rPr>
        <w:t xml:space="preserve"> </w:t>
      </w:r>
      <w:r>
        <w:rPr>
          <w:noProof w:val="0"/>
        </w:rPr>
        <w:t>Ministerul de resort indică în</w:t>
      </w:r>
      <w:r w:rsidR="00C27408">
        <w:rPr>
          <w:noProof w:val="0"/>
        </w:rPr>
        <w:t xml:space="preserve"> actualizarea</w:t>
      </w:r>
      <w:r>
        <w:rPr>
          <w:noProof w:val="0"/>
        </w:rPr>
        <w:t xml:space="preserve"> PNIESC și în rapoartele naționale intermediare integrate privind energia și clima modul în care intenționează să contribuie la Strategia privind hidrogenul a UE.</w:t>
      </w:r>
    </w:p>
    <w:p w14:paraId="77D811FD" w14:textId="7405B51B" w:rsidR="00F05089" w:rsidRDefault="00F05089" w:rsidP="00ED18D4">
      <w:pPr>
        <w:rPr>
          <w:noProof w:val="0"/>
        </w:rPr>
      </w:pPr>
      <w:r w:rsidRPr="00F05089">
        <w:rPr>
          <w:b/>
          <w:bCs/>
          <w:noProof w:val="0"/>
        </w:rPr>
        <w:lastRenderedPageBreak/>
        <w:t>Art. 22^2</w:t>
      </w:r>
      <w:r>
        <w:rPr>
          <w:noProof w:val="0"/>
        </w:rPr>
        <w:t xml:space="preserve"> - (1) Cntribuția combustibililor de origine nebiologică din surse regenerabile prevăzută la art. 22^1 alin. (8) utilizați în scopuri finale energetice și neenergetice poate fi redusă cu 20 % în 2030 dacă următoarele sunt îndeplinite cumulativ:</w:t>
      </w:r>
    </w:p>
    <w:p w14:paraId="37370C06" w14:textId="79DF9076" w:rsidR="00F05089" w:rsidRDefault="00F05089" w:rsidP="00ED18D4">
      <w:pPr>
        <w:pStyle w:val="ListParagraph"/>
        <w:numPr>
          <w:ilvl w:val="0"/>
          <w:numId w:val="181"/>
        </w:numPr>
        <w:rPr>
          <w:noProof w:val="0"/>
        </w:rPr>
      </w:pPr>
      <w:r>
        <w:rPr>
          <w:noProof w:val="0"/>
        </w:rPr>
        <w:t xml:space="preserve">contribuția națională la obiectivul general obligatoriu al Uniunii este cel puțin echivalentă cu contribuția națională preconizată, în conformitate cu formula menționată în anexa II la Regulamentul (UE) 2018/1999; și </w:t>
      </w:r>
    </w:p>
    <w:p w14:paraId="55D5186C" w14:textId="3EFD88A5" w:rsidR="00F05089" w:rsidRDefault="00F05089" w:rsidP="00ED18D4">
      <w:pPr>
        <w:pStyle w:val="ListParagraph"/>
        <w:numPr>
          <w:ilvl w:val="0"/>
          <w:numId w:val="181"/>
        </w:numPr>
        <w:rPr>
          <w:noProof w:val="0"/>
        </w:rPr>
      </w:pPr>
      <w:r>
        <w:rPr>
          <w:noProof w:val="0"/>
        </w:rPr>
        <w:t xml:space="preserve">ponderea hidrogenului sau a derivaților săi, produși din combustibili fosili care este consumată în România nu depășește 23 % în 2030 și 20 % în 2035. </w:t>
      </w:r>
    </w:p>
    <w:p w14:paraId="6B16C3B2" w14:textId="77777777" w:rsidR="00F05089" w:rsidRDefault="00F05089" w:rsidP="00ED18D4">
      <w:pPr>
        <w:rPr>
          <w:noProof w:val="0"/>
        </w:rPr>
      </w:pPr>
      <w:r>
        <w:rPr>
          <w:noProof w:val="0"/>
        </w:rPr>
        <w:t>(2)</w:t>
      </w:r>
      <w:r>
        <w:rPr>
          <w:noProof w:val="0"/>
        </w:rPr>
        <w:tab/>
        <w:t>În cazul în care oricare dintre condițiile prevăzute la alin. (1) lit. a) și b) nu sunt îndeplinite, reducerea prevăzută la același aliniat încetează să se aplice.</w:t>
      </w:r>
    </w:p>
    <w:p w14:paraId="370AA60A" w14:textId="77777777" w:rsidR="00F05089" w:rsidRDefault="00F05089" w:rsidP="00ED18D4">
      <w:pPr>
        <w:rPr>
          <w:noProof w:val="0"/>
        </w:rPr>
      </w:pPr>
      <w:r>
        <w:rPr>
          <w:noProof w:val="0"/>
        </w:rPr>
        <w:t>(3)</w:t>
      </w:r>
      <w:r>
        <w:rPr>
          <w:noProof w:val="0"/>
        </w:rPr>
        <w:tab/>
        <w:t>În cazul în care se aplică reducerea menționată la alin. (1), ministerul de resort transmite către Comisie o notificare împreună cu actualizarea PNIESC și introduce reducerea menționată ca parte a rapoartelor naționale intermediare integrate privind energia și clima.</w:t>
      </w:r>
    </w:p>
    <w:p w14:paraId="54DFEC8F" w14:textId="2E90AFF1" w:rsidR="00F05089" w:rsidRDefault="00F05089" w:rsidP="00ED18D4">
      <w:pPr>
        <w:rPr>
          <w:noProof w:val="0"/>
        </w:rPr>
      </w:pPr>
      <w:r>
        <w:rPr>
          <w:noProof w:val="0"/>
        </w:rPr>
        <w:t>(4)</w:t>
      </w:r>
      <w:r>
        <w:rPr>
          <w:noProof w:val="0"/>
        </w:rPr>
        <w:tab/>
        <w:t xml:space="preserve">Notificarea include informații cu privire la ponderea actualizată a combustibililor din surse regenerabile de origine nebiologică și toate datele relevante pentru a demonstra că sunt îndeplinite ambele condiții prevăzute în  alin. (1) lit. a) și b).  </w:t>
      </w:r>
    </w:p>
    <w:p w14:paraId="25C07574" w14:textId="4126A3DA" w:rsidR="008B1DA0" w:rsidRDefault="008B1DA0" w:rsidP="00ED18D4">
      <w:pPr>
        <w:pStyle w:val="Heading5"/>
      </w:pPr>
      <w:r>
        <w:t>- La art. 23 se modifică alin. (1) și va următorul cuprins:</w:t>
      </w:r>
    </w:p>
    <w:p w14:paraId="6366B6AF" w14:textId="77777777" w:rsidR="008B1DA0" w:rsidRDefault="008B1DA0" w:rsidP="00ED18D4">
      <w:pPr>
        <w:rPr>
          <w:noProof w:val="0"/>
        </w:rPr>
      </w:pPr>
      <w:r>
        <w:rPr>
          <w:noProof w:val="0"/>
        </w:rPr>
        <w:t>(1)</w:t>
      </w:r>
      <w:r>
        <w:rPr>
          <w:noProof w:val="0"/>
        </w:rPr>
        <w:tab/>
        <w:t xml:space="preserve">Pentru promovarea utilizării energiei din surse regenerabile se are în vedere creșterea ponderii energiei din surse regenerabile în sectorul încălzire și răcire, cu o valoare orientativă de 0,8 puncte procentuale ca medie anuală calculată pentru perioadele de referință 2021-2025 și cu cel puțin 1,1 puncte procentuale ca medie anuală calculată pentru periaoda 2026-2030, pornind de la ponderea energiei din surse regenerabile în sectorul încălzirii și răcirii în 2020, exprimată ca pondere națională din consumul de energie finală și calculată în conformitate cu metodologia stabilită prin anexa nr. 3. </w:t>
      </w:r>
    </w:p>
    <w:p w14:paraId="767B45B7" w14:textId="7EF5BF2F" w:rsidR="008B1DA0" w:rsidRDefault="008B1DA0" w:rsidP="00ED18D4">
      <w:pPr>
        <w:pStyle w:val="Heading5"/>
      </w:pPr>
      <w:r>
        <w:t>- La art. 23 după alin. (1) se se introduc 3 noi alin. (1^1) – (1^3) cu următorul cuprins:</w:t>
      </w:r>
    </w:p>
    <w:p w14:paraId="7CA9B38B" w14:textId="77777777" w:rsidR="008B1DA0" w:rsidRDefault="008B1DA0" w:rsidP="00ED18D4">
      <w:pPr>
        <w:rPr>
          <w:noProof w:val="0"/>
        </w:rPr>
      </w:pPr>
      <w:r>
        <w:rPr>
          <w:noProof w:val="0"/>
        </w:rPr>
        <w:t>(1^1) Pentru calcularea ponderii energiei electrice din surse regenerabile utilizate în sistemele de încălzire și răcire în sensul alineatului (1), se utilizează ponderea medie a energiei electrice din surse regenerabile furnizate în cei doi ani precedenți.</w:t>
      </w:r>
    </w:p>
    <w:p w14:paraId="30969312" w14:textId="77777777" w:rsidR="008B1DA0" w:rsidRDefault="008B1DA0" w:rsidP="00ED18D4">
      <w:pPr>
        <w:rPr>
          <w:noProof w:val="0"/>
        </w:rPr>
      </w:pPr>
      <w:r>
        <w:rPr>
          <w:noProof w:val="0"/>
        </w:rPr>
        <w:t xml:space="preserve">(1^2) Autoritățile publice locale efectuează o evaluare a potențialului lor în materie de energie din surse regenerabile și a utilizării căldurii și răcorii reziduale în sectorul încălzirii și răcirii, inclusiv, după caz, o analiză a zonelor adecvate pentru implementarea acestora cu un risc ecologic redus și a potențialului proiectelor la scară mică aplicabile în gospodării. </w:t>
      </w:r>
    </w:p>
    <w:p w14:paraId="3D3DF6EB" w14:textId="77777777" w:rsidR="008B1DA0" w:rsidRDefault="008B1DA0" w:rsidP="00ED18D4">
      <w:pPr>
        <w:rPr>
          <w:noProof w:val="0"/>
        </w:rPr>
      </w:pPr>
      <w:r>
        <w:rPr>
          <w:noProof w:val="0"/>
        </w:rPr>
        <w:t xml:space="preserve">(1^3) Evaluarea prevăzută la alin. (1^2): </w:t>
      </w:r>
    </w:p>
    <w:p w14:paraId="0D3669BE" w14:textId="732A6658" w:rsidR="008B1DA0" w:rsidRDefault="008B1DA0" w:rsidP="00ED18D4">
      <w:pPr>
        <w:pStyle w:val="ListParagraph"/>
        <w:numPr>
          <w:ilvl w:val="0"/>
          <w:numId w:val="182"/>
        </w:numPr>
        <w:rPr>
          <w:noProof w:val="0"/>
        </w:rPr>
      </w:pPr>
      <w:r>
        <w:rPr>
          <w:noProof w:val="0"/>
        </w:rPr>
        <w:t>ține cont de tehnologiile disponibile și fezabile economic pentru utilizările industriale și casnice, cu scopul de a stabili etape fundamentale și măsuri pentru creșterea gradului de utilizare a energiei regenerabile în sectorul încălzirii și răcirii și, după caz, pentru utilizarea căldurii și răcorii reziduale prin încălzire și răcire centralizată, în vederea stabilirii unei strategii naționale pe termen lung pentru a reduce emisiile de gaze cu efect de seră și poluarea aerului provenită din încălzire și răcir,</w:t>
      </w:r>
    </w:p>
    <w:p w14:paraId="7B8365BA" w14:textId="2AA3084C" w:rsidR="008B1DA0" w:rsidRDefault="008B1DA0" w:rsidP="00ED18D4">
      <w:pPr>
        <w:pStyle w:val="ListParagraph"/>
        <w:numPr>
          <w:ilvl w:val="0"/>
          <w:numId w:val="182"/>
        </w:numPr>
        <w:rPr>
          <w:noProof w:val="0"/>
        </w:rPr>
      </w:pPr>
      <w:r>
        <w:rPr>
          <w:noProof w:val="0"/>
        </w:rPr>
        <w:t>respectă principiul „eficiența energetică pe primul loc”.</w:t>
      </w:r>
    </w:p>
    <w:p w14:paraId="7AE28A40" w14:textId="52A930BF" w:rsidR="008B1DA0" w:rsidRDefault="008B1DA0" w:rsidP="00ED18D4">
      <w:pPr>
        <w:pStyle w:val="ListParagraph"/>
        <w:numPr>
          <w:ilvl w:val="0"/>
          <w:numId w:val="182"/>
        </w:numPr>
        <w:rPr>
          <w:noProof w:val="0"/>
        </w:rPr>
      </w:pPr>
      <w:r>
        <w:rPr>
          <w:noProof w:val="0"/>
        </w:rPr>
        <w:lastRenderedPageBreak/>
        <w:t>face parte din PNIESC și însoțește evaluarea cuprinzătoare a încălzirii și răcirii prevăzută în  Legea nr. 121/2014 cu modificările și completările ulterioare.</w:t>
      </w:r>
    </w:p>
    <w:p w14:paraId="39FA5DB3" w14:textId="6A176816" w:rsidR="008B1DA0" w:rsidRDefault="008B1DA0" w:rsidP="00ED18D4">
      <w:pPr>
        <w:pStyle w:val="Heading5"/>
      </w:pPr>
      <w:r>
        <w:t>- La art. 23 alin. (2) se abrogă.</w:t>
      </w:r>
    </w:p>
    <w:p w14:paraId="54E96348" w14:textId="442F1A50" w:rsidR="008B1DA0" w:rsidRDefault="008B1DA0" w:rsidP="00ED18D4">
      <w:pPr>
        <w:pStyle w:val="Heading5"/>
      </w:pPr>
      <w:r>
        <w:t>- La art. 23 după alin. (2) se introduc opt noi alin. (2^1)-(2^8):</w:t>
      </w:r>
    </w:p>
    <w:p w14:paraId="4F92694B" w14:textId="77777777" w:rsidR="008B1DA0" w:rsidRDefault="008B1DA0" w:rsidP="00ED18D4">
      <w:pPr>
        <w:rPr>
          <w:noProof w:val="0"/>
        </w:rPr>
      </w:pPr>
      <w:r>
        <w:rPr>
          <w:noProof w:val="0"/>
        </w:rPr>
        <w:t>(2^1) În determinarea valorilor orientative prevăzute la alin. (1) poate fi luată în considerare căldura și răcoarea reziduală până la o limită de 0,4 puncte procentuale.</w:t>
      </w:r>
    </w:p>
    <w:p w14:paraId="3EDE46A7" w14:textId="77777777" w:rsidR="008B1DA0" w:rsidRDefault="008B1DA0" w:rsidP="00ED18D4">
      <w:pPr>
        <w:rPr>
          <w:noProof w:val="0"/>
        </w:rPr>
      </w:pPr>
      <w:r>
        <w:rPr>
          <w:noProof w:val="0"/>
        </w:rPr>
        <w:t xml:space="preserve">(2^2) În aplicarea alin. (2^1), mediile anuale prevăzute la alin. (1) cresc cu jumătate din punctele procentuale aferente căldurii și răcorii reziduale incluse până la o limită superioară de 1,0 puncte procentuale pentru perioada 2021-2025 și de 1,3 puncte procentuale pentru perioada 2026-2030. </w:t>
      </w:r>
    </w:p>
    <w:p w14:paraId="7049376D" w14:textId="77777777" w:rsidR="008B1DA0" w:rsidRDefault="008B1DA0" w:rsidP="00ED18D4">
      <w:pPr>
        <w:rPr>
          <w:noProof w:val="0"/>
        </w:rPr>
      </w:pPr>
      <w:r>
        <w:rPr>
          <w:noProof w:val="0"/>
        </w:rPr>
        <w:t>(2^3) Ministerul de resort informează Comisia cu privire la intenția de a contabiliza căldura și răcoarea reziduală și cantitatea estimată în actualizarea PNIESC.</w:t>
      </w:r>
    </w:p>
    <w:p w14:paraId="43E04ABB" w14:textId="77777777" w:rsidR="008B1DA0" w:rsidRDefault="008B1DA0" w:rsidP="00ED18D4">
      <w:pPr>
        <w:rPr>
          <w:noProof w:val="0"/>
        </w:rPr>
      </w:pPr>
      <w:r>
        <w:rPr>
          <w:noProof w:val="0"/>
        </w:rPr>
        <w:t xml:space="preserve">(2^4) În sensul alin. (1) autoritățile competente vor depune eforturi pentru a crește ponderea energiei din surse regenerabile în sectorul de încălzire și răcire cu punctele procentuale orientative suplimentare prevăzute în Anexa 1A. </w:t>
      </w:r>
    </w:p>
    <w:p w14:paraId="224C956E" w14:textId="77777777" w:rsidR="008B1DA0" w:rsidRDefault="008B1DA0" w:rsidP="00ED18D4">
      <w:pPr>
        <w:rPr>
          <w:noProof w:val="0"/>
        </w:rPr>
      </w:pPr>
      <w:r>
        <w:rPr>
          <w:noProof w:val="0"/>
        </w:rPr>
        <w:t>(2^5) În determinarea valorilor orientative prevăzute la alin. (1) poate fi luată în considerare energiea electrică din surse regenerabile utilizate pentru încălzire și răcire până la o limită de 0,4 puncte procentuale, cu condiția ca randamentul genertatorului de încălzire și răcire să fie mai mare de 100%.</w:t>
      </w:r>
    </w:p>
    <w:p w14:paraId="70CD3C93" w14:textId="77777777" w:rsidR="008B1DA0" w:rsidRDefault="008B1DA0" w:rsidP="00ED18D4">
      <w:pPr>
        <w:rPr>
          <w:noProof w:val="0"/>
        </w:rPr>
      </w:pPr>
      <w:r>
        <w:rPr>
          <w:noProof w:val="0"/>
        </w:rPr>
        <w:t xml:space="preserve">(2^6) În aplicarea alin. (2^5), mediile anuale prevăzute la alin. (1) cresc cu jumătate din punctele procentuale aferente energiea electrică din surse regenerabile respectivă până la o limită superioară de 1,0 puncte procentuale pentru perioada 2021-2025 și de 1,3 puncte procentuale pentru perioada 2026-2030. </w:t>
      </w:r>
    </w:p>
    <w:p w14:paraId="0C99D21C" w14:textId="77777777" w:rsidR="008B1DA0" w:rsidRDefault="008B1DA0" w:rsidP="00ED18D4">
      <w:pPr>
        <w:rPr>
          <w:noProof w:val="0"/>
        </w:rPr>
      </w:pPr>
      <w:r>
        <w:rPr>
          <w:noProof w:val="0"/>
        </w:rPr>
        <w:t>(2^7) Ministerul de resort informează Comisia, include în actualizarea PNIESC și în rapoartele națioanre intermediare integrate privind energia și clima cu privire la intenția de a contabiliza energia electrică din surse regenerabile utilizată în sistemele de încălzire și răcire centralizată de la generatoarele de căldur și frig al căror randament este mai mare de 100%, precum și capacitățile estimate de energie electrică în calculul creșterilor părevăzute la alin. (1).</w:t>
      </w:r>
    </w:p>
    <w:p w14:paraId="15FCBAA2" w14:textId="77777777" w:rsidR="008B1DA0" w:rsidRDefault="008B1DA0" w:rsidP="00ED18D4">
      <w:pPr>
        <w:rPr>
          <w:noProof w:val="0"/>
        </w:rPr>
      </w:pPr>
      <w:r>
        <w:rPr>
          <w:noProof w:val="0"/>
        </w:rPr>
        <w:t>(2^8) Ministerul de resort informează Comisia cu privire la intenția de a contabiliza energia electrică din surse regenerqabile utilizată în sistemele de încălzire și răcire centralizată de la generatoarele de căldură și frig al căror randament este mai mare de 100% în calculul creșterilor părevăzute la alin. (1) în actualizarea PNIESC.</w:t>
      </w:r>
    </w:p>
    <w:p w14:paraId="669DC600" w14:textId="4D5A9116" w:rsidR="006A06E7" w:rsidRDefault="006A06E7" w:rsidP="00ED18D4">
      <w:pPr>
        <w:pStyle w:val="Heading5"/>
      </w:pPr>
      <w:r>
        <w:t>- La art. 23 se modifică alin. (3) și va avea următorul cuprins:</w:t>
      </w:r>
    </w:p>
    <w:p w14:paraId="4DC1D94C" w14:textId="07613494" w:rsidR="006A06E7" w:rsidRDefault="006A06E7" w:rsidP="00ED18D4">
      <w:pPr>
        <w:rPr>
          <w:noProof w:val="0"/>
        </w:rPr>
      </w:pPr>
      <w:r>
        <w:rPr>
          <w:noProof w:val="0"/>
        </w:rPr>
        <w:t>(3)  În sensul alin. (1), la calculul ponderii energiei din surse regenerabile în sectorul încălzirii și răcirii și creșterii medii anuală în conformitate cu alineatul menționat, inclusiv creșterea orientativă suplimentară stabilită în Anexa 1A:</w:t>
      </w:r>
    </w:p>
    <w:p w14:paraId="20BA16A6" w14:textId="3483FB25" w:rsidR="006A06E7" w:rsidRDefault="006A06E7" w:rsidP="00ED18D4">
      <w:pPr>
        <w:pStyle w:val="ListParagraph"/>
        <w:numPr>
          <w:ilvl w:val="0"/>
          <w:numId w:val="183"/>
        </w:numPr>
        <w:rPr>
          <w:noProof w:val="0"/>
        </w:rPr>
      </w:pPr>
      <w:r>
        <w:rPr>
          <w:noProof w:val="0"/>
        </w:rPr>
        <w:t>se poate considera că o astfel de pondere acoperă creșterea medie anuală în cazul în care ponderea energiei din surse regenerabile în sectorul încălzirii și răcirii este de peste 60%, și</w:t>
      </w:r>
    </w:p>
    <w:p w14:paraId="1E039036" w14:textId="6F889F6A" w:rsidR="006A06E7" w:rsidRDefault="006A06E7" w:rsidP="00ED18D4">
      <w:pPr>
        <w:pStyle w:val="ListParagraph"/>
        <w:numPr>
          <w:ilvl w:val="0"/>
          <w:numId w:val="183"/>
        </w:numPr>
        <w:rPr>
          <w:noProof w:val="0"/>
        </w:rPr>
      </w:pPr>
      <w:r>
        <w:rPr>
          <w:noProof w:val="0"/>
        </w:rPr>
        <w:lastRenderedPageBreak/>
        <w:t>se poate considera că o astfel de pondere acoperă jumătate din creșterea medie anuală în cazul în care ponderea energiei din surse regenerabile în sectorul încălzirii și răcirii este de peste 50% și până la 60%.</w:t>
      </w:r>
    </w:p>
    <w:p w14:paraId="09C01A0C" w14:textId="26BDCC9C" w:rsidR="006A06E7" w:rsidRDefault="006A06E7" w:rsidP="00ED18D4">
      <w:pPr>
        <w:pStyle w:val="Heading5"/>
      </w:pPr>
      <w:r>
        <w:t>La art. 23 după alin. (3) se adaugă un alin. nou (3^1) cu următorul cuprins:</w:t>
      </w:r>
    </w:p>
    <w:p w14:paraId="29B3FB34" w14:textId="77777777" w:rsidR="006A06E7" w:rsidRDefault="006A06E7" w:rsidP="00ED18D4">
      <w:pPr>
        <w:rPr>
          <w:noProof w:val="0"/>
        </w:rPr>
      </w:pPr>
      <w:r>
        <w:rPr>
          <w:noProof w:val="0"/>
        </w:rPr>
        <w:t xml:space="preserve">(3^1) Ministerul de resort, MEAT, și MDLPA furnizează informații, într-un mod  accesibil și transparent, în special proprietarilor sau locatarilor clădirilor și IMM-urilor despre măsurile și instrumentele financiare disponibile pentru a folosi mai multă energie din surse regenerabile în sistemele de încălzire și răcire. </w:t>
      </w:r>
    </w:p>
    <w:p w14:paraId="6DD4F33D" w14:textId="7D2CFB9A" w:rsidR="006A06E7" w:rsidRDefault="006A06E7" w:rsidP="00ED18D4">
      <w:pPr>
        <w:pStyle w:val="Heading5"/>
      </w:pPr>
      <w:r>
        <w:t>La art. 23 se modifică alin. (5) și va avea următorul cuprins:</w:t>
      </w:r>
    </w:p>
    <w:p w14:paraId="1D845DCE" w14:textId="77777777" w:rsidR="006A06E7" w:rsidRDefault="006A06E7" w:rsidP="00ED18D4">
      <w:pPr>
        <w:rPr>
          <w:noProof w:val="0"/>
        </w:rPr>
      </w:pPr>
      <w:r>
        <w:rPr>
          <w:noProof w:val="0"/>
        </w:rPr>
        <w:t>(5) Pentru a obține creșterea medie anuală menționată la alin. (1) se iau în considerare cel puțin două dintre următoarele măsuri:</w:t>
      </w:r>
    </w:p>
    <w:p w14:paraId="7A0F5803" w14:textId="77777777" w:rsidR="006A06E7" w:rsidRDefault="006A06E7" w:rsidP="00ED18D4">
      <w:pPr>
        <w:rPr>
          <w:noProof w:val="0"/>
        </w:rPr>
      </w:pPr>
      <w:r>
        <w:rPr>
          <w:noProof w:val="0"/>
        </w:rPr>
        <w:t>a)</w:t>
      </w:r>
      <w:r>
        <w:rPr>
          <w:noProof w:val="0"/>
        </w:rPr>
        <w:tab/>
        <w:t>încorporarea fizică a energiei din surse regenerabile sau a căldurii și răcorii reziduale în sursele de energie și în combustibilii furnizați pentru încălzire și răcire;</w:t>
      </w:r>
    </w:p>
    <w:p w14:paraId="39B0636D" w14:textId="77777777" w:rsidR="006A06E7" w:rsidRDefault="006A06E7" w:rsidP="00ED18D4">
      <w:pPr>
        <w:rPr>
          <w:noProof w:val="0"/>
        </w:rPr>
      </w:pPr>
      <w:r>
        <w:rPr>
          <w:noProof w:val="0"/>
        </w:rPr>
        <w:t>b)</w:t>
      </w:r>
      <w:r>
        <w:rPr>
          <w:noProof w:val="0"/>
        </w:rPr>
        <w:tab/>
        <w:t>instalarea de sisteme de încălzire și răcire din surse regenerabile de înaltă eficiență în clădiri, racordarea clădirilor la sisteme eficiente de încălzire și răcire centralizată sau utilizarea energiei din surse regenerabile ori a căldurii și răcorii reziduale pentru procesele industriale de încălzire și de răcire;</w:t>
      </w:r>
    </w:p>
    <w:p w14:paraId="3EE31BA6" w14:textId="77777777" w:rsidR="006A06E7" w:rsidRDefault="006A06E7" w:rsidP="00ED18D4">
      <w:pPr>
        <w:rPr>
          <w:noProof w:val="0"/>
        </w:rPr>
      </w:pPr>
      <w:r>
        <w:rPr>
          <w:noProof w:val="0"/>
        </w:rPr>
        <w:t>c)</w:t>
      </w:r>
      <w:r>
        <w:rPr>
          <w:noProof w:val="0"/>
        </w:rPr>
        <w:tab/>
        <w:t>măsuri acoperite de certificate comercializabile care dovedesc respectarea obligației prevăzute la alineatul (1) primul paragraf prin sprijin acordat măsurilor de instalare prevăzute la punctul (b) de la prezentul alineat, realizate de alt operator economic, precum un instalator independent de tehnologie în domeniul energiei din surse regenerabile sau o societate de servicii energetice care furnizează servicii de instalare în domeniul energiei din surse regenerabile;</w:t>
      </w:r>
    </w:p>
    <w:p w14:paraId="29A87AFC" w14:textId="77777777" w:rsidR="006A06E7" w:rsidRDefault="006A06E7" w:rsidP="00ED18D4">
      <w:pPr>
        <w:rPr>
          <w:noProof w:val="0"/>
        </w:rPr>
      </w:pPr>
      <w:r>
        <w:rPr>
          <w:noProof w:val="0"/>
        </w:rPr>
        <w:t>d)</w:t>
      </w:r>
      <w:r>
        <w:rPr>
          <w:noProof w:val="0"/>
        </w:rPr>
        <w:tab/>
        <w:t>consolidarea capacităților pentru ca autoritățile naționale și locale să identifice potențialul local de încălzire și răcire din surse regenerabile și să planifice și să pună în aplicare proiecte și infrastructuri privind energia din surse regenerabile, oferind consultanța aferentă;</w:t>
      </w:r>
    </w:p>
    <w:p w14:paraId="3F82DA8E" w14:textId="77777777" w:rsidR="006A06E7" w:rsidRDefault="006A06E7" w:rsidP="00ED18D4">
      <w:pPr>
        <w:rPr>
          <w:noProof w:val="0"/>
        </w:rPr>
      </w:pPr>
      <w:r>
        <w:rPr>
          <w:noProof w:val="0"/>
        </w:rPr>
        <w:t>e)</w:t>
      </w:r>
      <w:r>
        <w:rPr>
          <w:noProof w:val="0"/>
        </w:rPr>
        <w:tab/>
        <w:t>crearea unor cadre de atenuare a riscurilor pentru a reduce costul de capital pentru proiectele de încălzire și răcire din surse regenerabile și din încălzire și răcoare reziduală, permițând, printre altele, gruparea proiectelor mai mici, precum și corelarea lor mai strânsă și mai completă cu alte măsuri de eficiență energetică și de renovare a clădirilor;</w:t>
      </w:r>
    </w:p>
    <w:p w14:paraId="1A075E98" w14:textId="77777777" w:rsidR="006A06E7" w:rsidRDefault="006A06E7" w:rsidP="00ED18D4">
      <w:pPr>
        <w:rPr>
          <w:noProof w:val="0"/>
        </w:rPr>
      </w:pPr>
      <w:r>
        <w:rPr>
          <w:noProof w:val="0"/>
        </w:rPr>
        <w:t>f)</w:t>
      </w:r>
      <w:r>
        <w:rPr>
          <w:noProof w:val="0"/>
        </w:rPr>
        <w:tab/>
        <w:t>promovarea contractelor de achiziție de căldură și răcire din surse regenerabile pentru întreprinderile cu calitate de consumator și pentru colectivele mici de consumatori;</w:t>
      </w:r>
    </w:p>
    <w:p w14:paraId="27C49B00" w14:textId="77777777" w:rsidR="006A06E7" w:rsidRDefault="006A06E7" w:rsidP="00ED18D4">
      <w:pPr>
        <w:rPr>
          <w:noProof w:val="0"/>
        </w:rPr>
      </w:pPr>
      <w:r>
        <w:rPr>
          <w:noProof w:val="0"/>
        </w:rPr>
        <w:t>g)</w:t>
      </w:r>
      <w:r>
        <w:rPr>
          <w:noProof w:val="0"/>
        </w:rPr>
        <w:tab/>
        <w:t>scheme planificate de înlocuire a surselor de încălzire pe bază de combustibili fosili, a sistemelor de încălzire incompatibile cu sursele de energie regenerabile sau scheme planificate de eliminare treptată a combustibililor fosili, cu ținte de etapă;</w:t>
      </w:r>
    </w:p>
    <w:p w14:paraId="3C7B282A" w14:textId="77777777" w:rsidR="006A06E7" w:rsidRDefault="006A06E7" w:rsidP="00ED18D4">
      <w:pPr>
        <w:rPr>
          <w:noProof w:val="0"/>
        </w:rPr>
      </w:pPr>
      <w:r>
        <w:rPr>
          <w:noProof w:val="0"/>
        </w:rPr>
        <w:t>h)</w:t>
      </w:r>
      <w:r>
        <w:rPr>
          <w:noProof w:val="0"/>
        </w:rPr>
        <w:tab/>
        <w:t>cerințe la nivel local și regional în ceea ce privește planificarea energiei termice din surse regenerabile, care include răcirea;</w:t>
      </w:r>
    </w:p>
    <w:p w14:paraId="5BC0B2F1" w14:textId="77777777" w:rsidR="006A06E7" w:rsidRDefault="006A06E7" w:rsidP="00ED18D4">
      <w:pPr>
        <w:rPr>
          <w:noProof w:val="0"/>
        </w:rPr>
      </w:pPr>
      <w:r>
        <w:rPr>
          <w:noProof w:val="0"/>
        </w:rPr>
        <w:t>i)</w:t>
      </w:r>
      <w:r>
        <w:rPr>
          <w:noProof w:val="0"/>
        </w:rPr>
        <w:tab/>
        <w:t>promovarea producției de biogaz și a injectării acestuia în rețeaua de gaze, în loc să fie folosit pentru producerea de energie electrică;</w:t>
      </w:r>
    </w:p>
    <w:p w14:paraId="0A9D9FAC" w14:textId="77777777" w:rsidR="006A06E7" w:rsidRDefault="006A06E7" w:rsidP="00ED18D4">
      <w:pPr>
        <w:rPr>
          <w:noProof w:val="0"/>
        </w:rPr>
      </w:pPr>
      <w:r>
        <w:rPr>
          <w:noProof w:val="0"/>
        </w:rPr>
        <w:lastRenderedPageBreak/>
        <w:t>j)</w:t>
      </w:r>
      <w:r>
        <w:rPr>
          <w:noProof w:val="0"/>
        </w:rPr>
        <w:tab/>
        <w:t>măsuri de promovare a integrării tehnologiilor de stocare a energiei termice în sistemele de încălzire și răcire;</w:t>
      </w:r>
    </w:p>
    <w:p w14:paraId="5C032DF9" w14:textId="77777777" w:rsidR="006A06E7" w:rsidRDefault="006A06E7" w:rsidP="00ED18D4">
      <w:pPr>
        <w:rPr>
          <w:noProof w:val="0"/>
        </w:rPr>
      </w:pPr>
      <w:r>
        <w:rPr>
          <w:noProof w:val="0"/>
        </w:rPr>
        <w:t>k)</w:t>
      </w:r>
      <w:r>
        <w:rPr>
          <w:noProof w:val="0"/>
        </w:rPr>
        <w:tab/>
        <w:t>promovarea rețelelor de încălzire și răcire centralizată pe bază de energie din surse regenerabile, în special de comunitățile de energie din surse regenerabile, inclusiv prin măsuri de reglementare, mecanisme de finanțare și sprijin;</w:t>
      </w:r>
    </w:p>
    <w:p w14:paraId="010794E9" w14:textId="77777777" w:rsidR="006A06E7" w:rsidRDefault="006A06E7" w:rsidP="00ED18D4">
      <w:pPr>
        <w:rPr>
          <w:noProof w:val="0"/>
        </w:rPr>
      </w:pPr>
      <w:r>
        <w:rPr>
          <w:noProof w:val="0"/>
        </w:rPr>
        <w:t>l)</w:t>
      </w:r>
      <w:r>
        <w:rPr>
          <w:noProof w:val="0"/>
        </w:rPr>
        <w:tab/>
        <w:t>alte măsuri de politică, cu un efect echivalent, incluzând măsuri fiscale, scheme de sprijin sau alte stimulente financiare care să contribuie la instalarea de echipamente de încălzire și răcire utilizând energie din surse regenerabile și la dezvoltarea de rețele energetice care furnizează energie din surse regenerabile pentru încălzire și răcire în clădiri și industrie.</w:t>
      </w:r>
    </w:p>
    <w:p w14:paraId="1AE84DE4" w14:textId="4335BD86" w:rsidR="006A06E7" w:rsidRDefault="006A06E7" w:rsidP="00ED18D4">
      <w:pPr>
        <w:pStyle w:val="Heading5"/>
      </w:pPr>
      <w:r>
        <w:t>La art. 23 după alin. (5) se introduce un nou alin. (5^1) cu următorul cuprins:</w:t>
      </w:r>
    </w:p>
    <w:p w14:paraId="5D00F3DA" w14:textId="1F72428B" w:rsidR="006A06E7" w:rsidRDefault="006A06E7" w:rsidP="00ED18D4">
      <w:pPr>
        <w:rPr>
          <w:noProof w:val="0"/>
        </w:rPr>
      </w:pPr>
      <w:r>
        <w:rPr>
          <w:noProof w:val="0"/>
        </w:rPr>
        <w:t>(</w:t>
      </w:r>
      <w:r w:rsidR="00A46E11">
        <w:rPr>
          <w:noProof w:val="0"/>
        </w:rPr>
        <w:t>5^</w:t>
      </w:r>
      <w:r>
        <w:rPr>
          <w:noProof w:val="0"/>
        </w:rPr>
        <w:t>1) În vederea adoptării și aplicării măsurilor prevăzute la alin. (5), autoritățile competente asigură accesibilitatea acestora pentru toți consumatorii, în special pentru cei din gospodării vulnerabile sau cu venituri mici, care altfel nu ar dispune de suficient capital inițial pentru a beneficia de ele.</w:t>
      </w:r>
    </w:p>
    <w:p w14:paraId="174EA1B3" w14:textId="3254821D" w:rsidR="00A46E11" w:rsidRDefault="00A46E11" w:rsidP="00ED18D4">
      <w:pPr>
        <w:pStyle w:val="Heading5"/>
      </w:pPr>
      <w:r>
        <w:t>La art. 24 se modifică alin. (1) și va avea următorul cuprins:</w:t>
      </w:r>
    </w:p>
    <w:p w14:paraId="3E9E1E1A" w14:textId="60E6D434" w:rsidR="00A46E11" w:rsidRDefault="00A46E11" w:rsidP="00ED18D4">
      <w:pPr>
        <w:rPr>
          <w:noProof w:val="0"/>
        </w:rPr>
      </w:pPr>
      <w:r>
        <w:rPr>
          <w:noProof w:val="0"/>
        </w:rPr>
        <w:t xml:space="preserve">(1)  Operatorii de servicii de alimentare cu energie termică în sistem centralizat pun la dispoziția consumatorilor finali informații cu privire la performanța energetică și la ponderea energiei, exprimată cel puțin ca procent din consumul final brut de energie pentru încălzire și răcire alocat clientului, precum și cantitatea de energie utilizată pentru a furniza o unitate de încălzire din surse regenerabile în sistemele de încălzire și răcire centralizată, într-un mod ușor accesibil, cum ar fi în facturi sau pe site-urile acestora și la cerere. </w:t>
      </w:r>
    </w:p>
    <w:p w14:paraId="52F5AFA0" w14:textId="14D8E8C2" w:rsidR="00A46E11" w:rsidRDefault="00A46E11" w:rsidP="00ED18D4">
      <w:pPr>
        <w:pStyle w:val="Heading5"/>
      </w:pPr>
      <w:r>
        <w:t>La  art. 24 se modifică alin. (4) și va avea următorul cuprins:</w:t>
      </w:r>
    </w:p>
    <w:p w14:paraId="365F6158" w14:textId="77777777" w:rsidR="00A46E11" w:rsidRDefault="00A46E11" w:rsidP="00ED18D4">
      <w:pPr>
        <w:rPr>
          <w:noProof w:val="0"/>
        </w:rPr>
      </w:pPr>
      <w:r>
        <w:rPr>
          <w:noProof w:val="0"/>
        </w:rPr>
        <w:t>(4)</w:t>
      </w:r>
      <w:r>
        <w:rPr>
          <w:noProof w:val="0"/>
        </w:rPr>
        <w:tab/>
        <w:t xml:space="preserve">Pentru creșterea ponderii energiei din surse regenerabile și din căldură și răcoare reziduală în încălzirea și răcirea centralizată cu o valoare orientativă de 2,2 puncte procentuale ca medie anuală calculată pentru perioada 2021-2030 și cu cel puțin 1,1 puncte procentuale ca medie anuală calculată pentru periaoda 2026-2030, pornind de la ponderea energiei din surse regenerabile și din căldura și răcoarea reziduală în încălzirea și răcirea centralizată în 2020, și, autoritățile competente stabilesc măsurile necesare în acest scop, în actualizarea PNIESC. </w:t>
      </w:r>
    </w:p>
    <w:p w14:paraId="4C68BA02" w14:textId="0C39068B" w:rsidR="00A46E11" w:rsidRDefault="00A46E11" w:rsidP="00ED18D4">
      <w:pPr>
        <w:pStyle w:val="Heading5"/>
      </w:pPr>
      <w:r>
        <w:t>La art. 23 după alin. (4) se introduce un nou alin. (4^1) cu următorul cuprins:</w:t>
      </w:r>
    </w:p>
    <w:p w14:paraId="68B4B737" w14:textId="77777777" w:rsidR="00A46E11" w:rsidRDefault="00A46E11" w:rsidP="00ED18D4">
      <w:pPr>
        <w:rPr>
          <w:noProof w:val="0"/>
        </w:rPr>
      </w:pPr>
      <w:r>
        <w:rPr>
          <w:noProof w:val="0"/>
        </w:rPr>
        <w:t xml:space="preserve">(4^1) Energia electrică din surse regenerabile utilizată în sistemele de încălzire și răcire centralizată poate fi inclusă în calculul creșterii medii anuale prevăzute la alin. (4). </w:t>
      </w:r>
    </w:p>
    <w:p w14:paraId="77E5A6AC" w14:textId="083CEFA5" w:rsidR="00A46E11" w:rsidRDefault="00A46E11" w:rsidP="00ED18D4">
      <w:pPr>
        <w:pStyle w:val="Heading5"/>
      </w:pPr>
      <w:r>
        <w:t>La art. 23 după alin. (5) se introduc patru noi alin. (5^1)-(5^4) cu următorul cuprins:</w:t>
      </w:r>
    </w:p>
    <w:p w14:paraId="403811B1" w14:textId="77777777" w:rsidR="00A46E11" w:rsidRDefault="00A46E11" w:rsidP="00ED18D4">
      <w:pPr>
        <w:rPr>
          <w:noProof w:val="0"/>
        </w:rPr>
      </w:pPr>
      <w:r>
        <w:rPr>
          <w:noProof w:val="0"/>
        </w:rPr>
        <w:t>(5^1) Ministerul de resort informează Comisia cu privire la intenția de a contabiliza energia electrică din surse regenerabile utilizată în sistemele de încălzire și răcire centralizată în calculul creșterii anuale prevăzute la alin. (4) și autoritățile competente includ capacitățile estimate de energie electrică din surse regenerabile pentru sistemele de încălzire și răcire centralizate în actualizarea PNIESC, precum și cantitatea de energie electrică din surse regenerabile utilizată în sistemele de încălzire și răcire centralizată în rapoartele lor naționale intermediare integrate privind energia și clima.</w:t>
      </w:r>
    </w:p>
    <w:p w14:paraId="420B7ADC" w14:textId="77777777" w:rsidR="00A46E11" w:rsidRDefault="00A46E11" w:rsidP="00ED18D4">
      <w:pPr>
        <w:rPr>
          <w:noProof w:val="0"/>
        </w:rPr>
      </w:pPr>
      <w:r>
        <w:rPr>
          <w:noProof w:val="0"/>
        </w:rPr>
        <w:lastRenderedPageBreak/>
        <w:t xml:space="preserve">(5^2) Pentru calcularea ponderii energiei electrice din surse regenerabile utilizate în sistemele de încălzire și răcire centralizată în sensul alin. (4), autoritățile competente pot utiliza ponderea medie a energiei electrice din surse regenerabile furnizate în cei doi ani precedenți. </w:t>
      </w:r>
    </w:p>
    <w:p w14:paraId="5861BBC0" w14:textId="3BB6F607" w:rsidR="00A46E11" w:rsidRDefault="00A46E11" w:rsidP="00ED18D4">
      <w:pPr>
        <w:rPr>
          <w:noProof w:val="0"/>
        </w:rPr>
      </w:pPr>
      <w:r>
        <w:rPr>
          <w:noProof w:val="0"/>
        </w:rPr>
        <w:t xml:space="preserve">(5^3) </w:t>
      </w:r>
      <w:r w:rsidRPr="00A46E11">
        <w:rPr>
          <w:noProof w:val="0"/>
        </w:rPr>
        <w:t>În sensul alin. (4) atunci când se calculează ponderea energiei din surse regenerabile și din căldură și răcoare reziduală în încălzirea și răcirea centralizată</w:t>
      </w:r>
      <w:r>
        <w:rPr>
          <w:noProof w:val="0"/>
        </w:rPr>
        <w:t>:</w:t>
      </w:r>
    </w:p>
    <w:p w14:paraId="2BFC552D" w14:textId="02B11B70" w:rsidR="00A46E11" w:rsidRDefault="00A46E11" w:rsidP="00ED18D4">
      <w:pPr>
        <w:pStyle w:val="ListParagraph"/>
        <w:numPr>
          <w:ilvl w:val="0"/>
          <w:numId w:val="184"/>
        </w:numPr>
        <w:rPr>
          <w:noProof w:val="0"/>
        </w:rPr>
      </w:pPr>
      <w:r>
        <w:rPr>
          <w:noProof w:val="0"/>
        </w:rPr>
        <w:t>se poate considera că o astfel de pondere acoperă creșterea medie anuală menționată la alineatul (4) dacă aceasta este de peste 60 %,</w:t>
      </w:r>
    </w:p>
    <w:p w14:paraId="13670238" w14:textId="611A356E" w:rsidR="006A06E7" w:rsidRDefault="00A46E11" w:rsidP="00ED18D4">
      <w:pPr>
        <w:pStyle w:val="ListParagraph"/>
        <w:numPr>
          <w:ilvl w:val="0"/>
          <w:numId w:val="184"/>
        </w:numPr>
        <w:rPr>
          <w:noProof w:val="0"/>
        </w:rPr>
      </w:pPr>
      <w:r>
        <w:rPr>
          <w:noProof w:val="0"/>
        </w:rPr>
        <w:t>se poate considera că o astfel de pondere acoperă jumătate din creșterea medie anuală menționată la alineatul (4) dacă aceasta este de peste 50 % și de până la 60 %.</w:t>
      </w:r>
    </w:p>
    <w:p w14:paraId="58D3DFE2" w14:textId="132FEE00" w:rsidR="006A06E7" w:rsidRDefault="00A46E11" w:rsidP="00ED18D4">
      <w:pPr>
        <w:rPr>
          <w:noProof w:val="0"/>
        </w:rPr>
      </w:pPr>
      <w:r w:rsidRPr="00A46E11">
        <w:rPr>
          <w:noProof w:val="0"/>
        </w:rPr>
        <w:t>(5^4) Ministerul de resort împreună cu autoritățile competente stabilesc măsurile necesare pentru a introduce creșterea medie anuală menționată în alineatul (4) în actualizarea PNIESC.</w:t>
      </w:r>
    </w:p>
    <w:p w14:paraId="473627AB" w14:textId="6AC01BA0" w:rsidR="00A46E11" w:rsidRDefault="00A46E11" w:rsidP="00ED18D4">
      <w:pPr>
        <w:pStyle w:val="Heading5"/>
      </w:pPr>
      <w:r>
        <w:t>La art. 23 alin. (6) se modifică și va avea următorul cuprins:</w:t>
      </w:r>
    </w:p>
    <w:p w14:paraId="039C942E" w14:textId="77777777" w:rsidR="00A46E11" w:rsidRDefault="00A46E11" w:rsidP="00ED18D4">
      <w:pPr>
        <w:rPr>
          <w:noProof w:val="0"/>
        </w:rPr>
      </w:pPr>
    </w:p>
    <w:p w14:paraId="28ED6002" w14:textId="77777777" w:rsidR="00A46E11" w:rsidRDefault="00A46E11" w:rsidP="00ED18D4">
      <w:pPr>
        <w:rPr>
          <w:noProof w:val="0"/>
        </w:rPr>
      </w:pPr>
      <w:r>
        <w:rPr>
          <w:noProof w:val="0"/>
        </w:rPr>
        <w:t>(6) Operatorii de sisteme de încălzire sau răcire centralizată cu o capacitate mai mare de 25 MWth pot racorda și furnizori părți terțe de energie din surse regenerabile și din căldură și răcoare reziduală sau pot voluntar să racordeze și să cumpere, de la furnizori părți terțe, căldură și răcoare din surse regenerabile și din căldură sau răcoare reziduală, pe baza unor criterii nediscriminatorii stabilite de autoritatea competentă, atunci când operatorii respectivi trebuie să realizeze una sau mai multe dintre următoarele:</w:t>
      </w:r>
    </w:p>
    <w:p w14:paraId="35890884" w14:textId="681576EC" w:rsidR="00A46E11" w:rsidRDefault="00A46E11" w:rsidP="00ED18D4">
      <w:pPr>
        <w:pStyle w:val="ListParagraph"/>
        <w:numPr>
          <w:ilvl w:val="0"/>
          <w:numId w:val="185"/>
        </w:numPr>
        <w:rPr>
          <w:noProof w:val="0"/>
        </w:rPr>
      </w:pPr>
      <w:r>
        <w:rPr>
          <w:noProof w:val="0"/>
        </w:rPr>
        <w:t>să satisfacă cererea unor clienți noi;</w:t>
      </w:r>
    </w:p>
    <w:p w14:paraId="651876FC" w14:textId="25545C33" w:rsidR="00A46E11" w:rsidRDefault="00A46E11" w:rsidP="00ED18D4">
      <w:pPr>
        <w:pStyle w:val="ListParagraph"/>
        <w:numPr>
          <w:ilvl w:val="0"/>
          <w:numId w:val="185"/>
        </w:numPr>
        <w:rPr>
          <w:noProof w:val="0"/>
        </w:rPr>
      </w:pPr>
      <w:r>
        <w:rPr>
          <w:noProof w:val="0"/>
        </w:rPr>
        <w:t>să înlocuiască capacitățile existente de producere de căldură sau răcoare;</w:t>
      </w:r>
    </w:p>
    <w:p w14:paraId="769982E0" w14:textId="17E64750" w:rsidR="00A46E11" w:rsidRDefault="00A46E11" w:rsidP="00ED18D4">
      <w:pPr>
        <w:pStyle w:val="ListParagraph"/>
        <w:numPr>
          <w:ilvl w:val="0"/>
          <w:numId w:val="185"/>
        </w:numPr>
        <w:rPr>
          <w:noProof w:val="0"/>
        </w:rPr>
      </w:pPr>
      <w:r>
        <w:rPr>
          <w:noProof w:val="0"/>
        </w:rPr>
        <w:t>să extindă capacitățile existente de producere de căldură sau răcoare.</w:t>
      </w:r>
    </w:p>
    <w:p w14:paraId="7A3EC9B3" w14:textId="2E69FEF3" w:rsidR="00A46E11" w:rsidRDefault="00A46E11" w:rsidP="00ED18D4">
      <w:pPr>
        <w:pStyle w:val="Heading5"/>
      </w:pPr>
      <w:r>
        <w:t>- La art. 23 după alin. (6) se introduce un noi alin. (6^1) cu următorul cuprins:</w:t>
      </w:r>
    </w:p>
    <w:p w14:paraId="55CCE1D2" w14:textId="77777777" w:rsidR="00A46E11" w:rsidRDefault="00A46E11" w:rsidP="00ED18D4">
      <w:pPr>
        <w:rPr>
          <w:noProof w:val="0"/>
        </w:rPr>
      </w:pPr>
      <w:r>
        <w:rPr>
          <w:noProof w:val="0"/>
        </w:rPr>
        <w:t>(6^1) Operatorii de sistem de încălzire sau răcire centralizată pot să refuze să racordeze și să cumpere căldură sau răcoare de la un furnizor parte terță în oricare dintre următoarele situații:</w:t>
      </w:r>
    </w:p>
    <w:p w14:paraId="300010A1" w14:textId="2DC6012D" w:rsidR="00A46E11" w:rsidRDefault="00A46E11" w:rsidP="00ED18D4">
      <w:pPr>
        <w:pStyle w:val="ListParagraph"/>
        <w:numPr>
          <w:ilvl w:val="0"/>
          <w:numId w:val="186"/>
        </w:numPr>
        <w:rPr>
          <w:noProof w:val="0"/>
        </w:rPr>
      </w:pPr>
      <w:r>
        <w:rPr>
          <w:noProof w:val="0"/>
        </w:rPr>
        <w:t>sistemul nu dispune de puterea necesară din cauza altor furnizări de căldură sau răcoare din surse regenerabile sau de căldură și răcoare reziduală;</w:t>
      </w:r>
    </w:p>
    <w:p w14:paraId="0D8AB414" w14:textId="1919D440" w:rsidR="00A46E11" w:rsidRDefault="00A46E11" w:rsidP="00ED18D4">
      <w:pPr>
        <w:pStyle w:val="ListParagraph"/>
        <w:numPr>
          <w:ilvl w:val="0"/>
          <w:numId w:val="186"/>
        </w:numPr>
        <w:rPr>
          <w:noProof w:val="0"/>
        </w:rPr>
      </w:pPr>
      <w:r>
        <w:rPr>
          <w:noProof w:val="0"/>
        </w:rPr>
        <w:t>căldura sau răcoarea de la furnizorul parte terță nu respectă parametrii tehnici necesari pentru racordare și pentru asigurarea funcționării fiabile și sigure a sistemului de încălzire și răcire centralizată;</w:t>
      </w:r>
    </w:p>
    <w:p w14:paraId="1D2B109A" w14:textId="70CFA3D3" w:rsidR="00A46E11" w:rsidRDefault="00A46E11" w:rsidP="00ED18D4">
      <w:pPr>
        <w:pStyle w:val="ListParagraph"/>
        <w:numPr>
          <w:ilvl w:val="0"/>
          <w:numId w:val="186"/>
        </w:numPr>
        <w:rPr>
          <w:noProof w:val="0"/>
        </w:rPr>
      </w:pPr>
      <w:r>
        <w:rPr>
          <w:noProof w:val="0"/>
        </w:rPr>
        <w:t>operatorul poate demonstra că furnizarea accesului ar duce la o creștere excesivă a costului căldurii sau răcirii pentru clienții finali în comparație cu costul aferent utilizării principalului furnizor local de căldură sau răcoare cu care ar concura furnizorul de energie din surse regenerabile și din căldură sau răcoare reziduală;</w:t>
      </w:r>
    </w:p>
    <w:p w14:paraId="1828934E" w14:textId="67AA0862" w:rsidR="00A46E11" w:rsidRDefault="00A46E11" w:rsidP="00ED18D4">
      <w:pPr>
        <w:pStyle w:val="ListParagraph"/>
        <w:numPr>
          <w:ilvl w:val="0"/>
          <w:numId w:val="186"/>
        </w:numPr>
        <w:rPr>
          <w:noProof w:val="0"/>
        </w:rPr>
      </w:pPr>
      <w:r>
        <w:rPr>
          <w:noProof w:val="0"/>
        </w:rPr>
        <w:t>sistemul operatorului este un sistem eficient de încălzire și răcire centralizată.</w:t>
      </w:r>
    </w:p>
    <w:p w14:paraId="2DE3558F" w14:textId="2464B0B8" w:rsidR="00A46E11" w:rsidRPr="00A46E11" w:rsidRDefault="00A46E11" w:rsidP="00ED18D4">
      <w:pPr>
        <w:pStyle w:val="Heading5"/>
        <w:rPr>
          <w:b w:val="0"/>
          <w:bCs w:val="0"/>
        </w:rPr>
      </w:pPr>
      <w:r>
        <w:rPr>
          <w:rStyle w:val="Heading5Char"/>
          <w:b/>
          <w:bCs/>
        </w:rPr>
        <w:t xml:space="preserve">- </w:t>
      </w:r>
      <w:r w:rsidRPr="00A46E11">
        <w:rPr>
          <w:rStyle w:val="Heading5Char"/>
          <w:b/>
          <w:bCs/>
        </w:rPr>
        <w:t>La art. 23 alin. (8) se modifică și va avea următorul cuprins</w:t>
      </w:r>
      <w:r w:rsidRPr="00A46E11">
        <w:rPr>
          <w:b w:val="0"/>
          <w:bCs w:val="0"/>
        </w:rPr>
        <w:t>:</w:t>
      </w:r>
    </w:p>
    <w:p w14:paraId="53931422" w14:textId="77777777" w:rsidR="00A46E11" w:rsidRDefault="00A46E11" w:rsidP="00ED18D4">
      <w:pPr>
        <w:rPr>
          <w:noProof w:val="0"/>
        </w:rPr>
      </w:pPr>
      <w:r>
        <w:rPr>
          <w:noProof w:val="0"/>
        </w:rPr>
        <w:t xml:space="preserve">(8) După caz, Autoritățile publice și locale,  instituie un cadru de coordonare între operatorii de sisteme de încălzire și răcire centralizată și sursele potențiale de căldură și răcoare reziduală </w:t>
      </w:r>
      <w:r>
        <w:rPr>
          <w:noProof w:val="0"/>
        </w:rPr>
        <w:lastRenderedPageBreak/>
        <w:t>în sectoarele industriale și terțiare pentru a facilita utilizarea căldurii și răcorii reziduale. Cadrul de coordonare asigură dialogul în ceea ce privește utilizarea căldurii și răcorii reziduale, care implică în special:</w:t>
      </w:r>
    </w:p>
    <w:p w14:paraId="4C78494C" w14:textId="67C03974" w:rsidR="00A46E11" w:rsidRDefault="00A46E11" w:rsidP="00ED18D4">
      <w:pPr>
        <w:pStyle w:val="ListParagraph"/>
        <w:numPr>
          <w:ilvl w:val="0"/>
          <w:numId w:val="187"/>
        </w:numPr>
        <w:rPr>
          <w:noProof w:val="0"/>
        </w:rPr>
      </w:pPr>
      <w:r>
        <w:rPr>
          <w:noProof w:val="0"/>
        </w:rPr>
        <w:t>operatorii de sisteme de încălzire și răcire centralizată;</w:t>
      </w:r>
    </w:p>
    <w:p w14:paraId="3DA0C67F" w14:textId="6F4AAC9F" w:rsidR="00A46E11" w:rsidRDefault="00A46E11" w:rsidP="00ED18D4">
      <w:pPr>
        <w:pStyle w:val="ListParagraph"/>
        <w:numPr>
          <w:ilvl w:val="0"/>
          <w:numId w:val="187"/>
        </w:numPr>
        <w:rPr>
          <w:noProof w:val="0"/>
        </w:rPr>
      </w:pPr>
      <w:r>
        <w:rPr>
          <w:noProof w:val="0"/>
        </w:rPr>
        <w:t>întreprinderile din sectoarele industriale și terțiare care generează căldură și răcoare reziduală care pot fi recuperate din punct de vedere economic prin sisteme de încălzire și răcire centralizată, cum ar fi centrele de date, fabricile industriale, clădirile comerciale mari, instalațiile de stocare a energiei și transportul public;</w:t>
      </w:r>
    </w:p>
    <w:p w14:paraId="5BEBC077" w14:textId="1F198A7E" w:rsidR="00A46E11" w:rsidRDefault="00A46E11" w:rsidP="00ED18D4">
      <w:pPr>
        <w:pStyle w:val="ListParagraph"/>
        <w:numPr>
          <w:ilvl w:val="0"/>
          <w:numId w:val="187"/>
        </w:numPr>
        <w:rPr>
          <w:noProof w:val="0"/>
        </w:rPr>
      </w:pPr>
      <w:r>
        <w:rPr>
          <w:noProof w:val="0"/>
        </w:rPr>
        <w:t xml:space="preserve">autoritățile locale responsabile cu planificarea și aprobarea infrastructurilor energetice; </w:t>
      </w:r>
    </w:p>
    <w:p w14:paraId="7E437642" w14:textId="3449F343" w:rsidR="00A46E11" w:rsidRDefault="00A46E11" w:rsidP="00ED18D4">
      <w:pPr>
        <w:pStyle w:val="ListParagraph"/>
        <w:numPr>
          <w:ilvl w:val="0"/>
          <w:numId w:val="187"/>
        </w:numPr>
        <w:rPr>
          <w:noProof w:val="0"/>
        </w:rPr>
      </w:pPr>
      <w:r>
        <w:rPr>
          <w:noProof w:val="0"/>
        </w:rPr>
        <w:t>experți științifici care lucrează la sisteme de încălzire și răcire centralizată de ultimă generație; și</w:t>
      </w:r>
    </w:p>
    <w:p w14:paraId="7D1CCACB" w14:textId="39DF0BA9" w:rsidR="00A46E11" w:rsidRDefault="00A46E11" w:rsidP="00ED18D4">
      <w:pPr>
        <w:pStyle w:val="ListParagraph"/>
        <w:numPr>
          <w:ilvl w:val="0"/>
          <w:numId w:val="187"/>
        </w:numPr>
        <w:rPr>
          <w:noProof w:val="0"/>
        </w:rPr>
      </w:pPr>
      <w:r>
        <w:rPr>
          <w:noProof w:val="0"/>
        </w:rPr>
        <w:t>comunitățile de energie din surse regenerabile implicate în încălzire și răcire.</w:t>
      </w:r>
    </w:p>
    <w:p w14:paraId="549CC1A9" w14:textId="6DCE49B3" w:rsidR="00A46E11" w:rsidRDefault="00A46E11" w:rsidP="00ED18D4">
      <w:pPr>
        <w:pStyle w:val="Heading5"/>
      </w:pPr>
      <w:r>
        <w:t>- La art. 24 se modifică alin. (10) și va avea următorul cuprins:</w:t>
      </w:r>
    </w:p>
    <w:p w14:paraId="1CBE4A3C" w14:textId="77777777" w:rsidR="00A46E11" w:rsidRDefault="00A46E11" w:rsidP="00ED18D4">
      <w:pPr>
        <w:rPr>
          <w:noProof w:val="0"/>
        </w:rPr>
      </w:pPr>
      <w:r>
        <w:rPr>
          <w:noProof w:val="0"/>
        </w:rPr>
        <w:t xml:space="preserve">(10) Operatorii de distribuție de energie electrică vor evalua, cel puțin la fiecare patru ani, în cooperare cu operatorii sistemelor de încălzire și răcire centralizată din zonele respective, potențialul sistemelor de încălzire și răcire centralizată de a furniza servicii de echilibrare și alte servicii de sistem, inclusiv participarea activă a cererii și stocarea termică a energiei electrice excedentare din surse regenerabile și vor evalua, de asemenea, dacă utilizarea potențialului identificat ar fi mai eficientă din punctul de vedere al costurilor și al utilizării resurselor decât soluțiile alternative. </w:t>
      </w:r>
    </w:p>
    <w:p w14:paraId="4B32B178" w14:textId="571CB1EA" w:rsidR="00A46E11" w:rsidRPr="00A46E11" w:rsidRDefault="00A46E11" w:rsidP="00ED18D4">
      <w:pPr>
        <w:pStyle w:val="Heading5"/>
        <w:rPr>
          <w:b w:val="0"/>
          <w:bCs w:val="0"/>
        </w:rPr>
      </w:pPr>
      <w:r>
        <w:rPr>
          <w:rStyle w:val="Heading5Char"/>
          <w:b/>
          <w:bCs/>
        </w:rPr>
        <w:t xml:space="preserve">- </w:t>
      </w:r>
      <w:r w:rsidRPr="00A46E11">
        <w:rPr>
          <w:rStyle w:val="Heading5Char"/>
          <w:b/>
          <w:bCs/>
        </w:rPr>
        <w:t>La art. 24 după alin. (10) se introduc trei noi alin. (10^1)-(10^3) cu următorul cuprins</w:t>
      </w:r>
      <w:r w:rsidRPr="00A46E11">
        <w:rPr>
          <w:b w:val="0"/>
          <w:bCs w:val="0"/>
        </w:rPr>
        <w:t>:</w:t>
      </w:r>
    </w:p>
    <w:p w14:paraId="72CF21FB" w14:textId="77777777" w:rsidR="00A46E11" w:rsidRDefault="00A46E11" w:rsidP="00ED18D4">
      <w:pPr>
        <w:rPr>
          <w:noProof w:val="0"/>
        </w:rPr>
      </w:pPr>
      <w:r>
        <w:rPr>
          <w:noProof w:val="0"/>
        </w:rPr>
        <w:t xml:space="preserve">(10^1) CNTEE Transelectrica și operatorii de distribuție a energiei electrice țin seama în mod corespunzător de rezultatele evaluării solicitate în ceea ce privește planificarea rețelelor, investițiile în rețele și dezvoltarea infrastructurii pe teritoriul României. </w:t>
      </w:r>
    </w:p>
    <w:p w14:paraId="0F578EC6" w14:textId="77777777" w:rsidR="00A46E11" w:rsidRDefault="00A46E11" w:rsidP="00ED18D4">
      <w:pPr>
        <w:rPr>
          <w:noProof w:val="0"/>
        </w:rPr>
      </w:pPr>
      <w:r>
        <w:rPr>
          <w:noProof w:val="0"/>
        </w:rPr>
        <w:t>(10^2) CNTEE Transelectrica cooperează cu operatorii de distribuție a energiei electrice și cu operatorii de sisteme de încălzire și răcire centralizată pentru a se asigura că serviciile de echilibrare, de stocare și alte servicii de flexibilitate, precum participarea activă a cererii, furnizate de operatorii de sisteme de încălzire și răcire centralizată, și în colaborare cu ANRE se asigură că operatorii de sisteme de încălzire și răcire centralizată pot participa la piețele de energie electrică.</w:t>
      </w:r>
    </w:p>
    <w:p w14:paraId="2D0D0DAF" w14:textId="77777777" w:rsidR="00A46E11" w:rsidRDefault="00A46E11" w:rsidP="00ED18D4">
      <w:pPr>
        <w:rPr>
          <w:noProof w:val="0"/>
        </w:rPr>
      </w:pPr>
      <w:r>
        <w:rPr>
          <w:noProof w:val="0"/>
        </w:rPr>
        <w:t>(10^3) Autoritatea Națională de Reglementare în domeniul Energiei poate extinde cerințele de evaluare și de coordonare prevăzute la alin. (10), respectiv (10^2) la operatorii de sisteme de transport și de distribuție de gaze, incluzând rețelele de hidrogen și alte rețele energetice.</w:t>
      </w:r>
    </w:p>
    <w:p w14:paraId="68D2BE8D" w14:textId="7872405F" w:rsidR="00A46E11" w:rsidRDefault="00A46E11" w:rsidP="00ED18D4">
      <w:pPr>
        <w:pStyle w:val="Heading5"/>
      </w:pPr>
      <w:r>
        <w:t>La art. 24 alin. (11) se modifică și va avea următorul cuprins:</w:t>
      </w:r>
    </w:p>
    <w:p w14:paraId="77E5081A" w14:textId="2953D0F4" w:rsidR="00A46E11" w:rsidRDefault="00A46E11" w:rsidP="00ED18D4">
      <w:pPr>
        <w:rPr>
          <w:noProof w:val="0"/>
        </w:rPr>
      </w:pPr>
      <w:r>
        <w:rPr>
          <w:noProof w:val="0"/>
        </w:rPr>
        <w:t>(11)</w:t>
      </w:r>
      <w:r>
        <w:rPr>
          <w:noProof w:val="0"/>
        </w:rPr>
        <w:tab/>
        <w:t>Autoritățile competente asigură faptul că drepturile consumatorilor și normele de exploatare a sistemelor de încălzire și răcire centralizată în conformitate cu art. 24 sunt clar definite, puse la dispoziția publicului și asigură respectarea lor.</w:t>
      </w:r>
    </w:p>
    <w:p w14:paraId="2874C854" w14:textId="357DBE85" w:rsidR="00A46E11" w:rsidRDefault="00A46E11" w:rsidP="00ED18D4">
      <w:pPr>
        <w:pStyle w:val="Heading5"/>
      </w:pPr>
      <w:r>
        <w:t>La art. 24 alin. (12) se modifică și va avea următorul cuprins:</w:t>
      </w:r>
    </w:p>
    <w:p w14:paraId="23361429" w14:textId="0946ACE3" w:rsidR="00A46E11" w:rsidRDefault="00A46E11" w:rsidP="00ED18D4">
      <w:pPr>
        <w:rPr>
          <w:noProof w:val="0"/>
        </w:rPr>
      </w:pPr>
      <w:r>
        <w:rPr>
          <w:noProof w:val="0"/>
        </w:rPr>
        <w:t>(12) Obligațiile prevăzute la alin. (2)-(11) nu se aplică în cazul în care este îndeplinită cel puțin una dintre următoarele condiții:</w:t>
      </w:r>
    </w:p>
    <w:p w14:paraId="6CB033F8" w14:textId="0A3F3B9F" w:rsidR="00A46E11" w:rsidRDefault="00A46E11" w:rsidP="00ED18D4">
      <w:pPr>
        <w:pStyle w:val="ListParagraph"/>
        <w:numPr>
          <w:ilvl w:val="0"/>
          <w:numId w:val="188"/>
        </w:numPr>
        <w:rPr>
          <w:noProof w:val="0"/>
        </w:rPr>
      </w:pPr>
      <w:r>
        <w:rPr>
          <w:noProof w:val="0"/>
        </w:rPr>
        <w:lastRenderedPageBreak/>
        <w:t>ponderea încălzirii și răcirii sale centralizate era mai mică sau egală cu 2 % din consumul final brut de energie pentru încălzire și răcire la 24 decembrie 2018;</w:t>
      </w:r>
    </w:p>
    <w:p w14:paraId="3EC6B172" w14:textId="1470EF7A" w:rsidR="00A46E11" w:rsidRDefault="00A46E11" w:rsidP="00ED18D4">
      <w:pPr>
        <w:pStyle w:val="ListParagraph"/>
        <w:numPr>
          <w:ilvl w:val="0"/>
          <w:numId w:val="188"/>
        </w:numPr>
        <w:rPr>
          <w:noProof w:val="0"/>
        </w:rPr>
      </w:pPr>
      <w:r>
        <w:rPr>
          <w:noProof w:val="0"/>
        </w:rPr>
        <w:t>ponderea încălzirii și răcirii sale centralizate crește peste pragul de 2 % din consumul final brut de energie pentru încălzire și răcire de la 24 decembrie 2018, prin dezvoltarea unor sisteme noi eficiente de încălzire și răcire centralizată pe baza PNIESC, prezentat în temeiul articolelor 3 și 14 din Regulamentul (UE) 2018/1999 și pe baza evaluării menționate la art. 23 alin. (1^2) și (1^3);</w:t>
      </w:r>
    </w:p>
    <w:p w14:paraId="4DE2667A" w14:textId="0911BE48" w:rsidR="00A46E11" w:rsidRDefault="00A46E11" w:rsidP="00ED18D4">
      <w:pPr>
        <w:pStyle w:val="ListParagraph"/>
        <w:numPr>
          <w:ilvl w:val="0"/>
          <w:numId w:val="188"/>
        </w:numPr>
        <w:rPr>
          <w:noProof w:val="0"/>
        </w:rPr>
      </w:pPr>
      <w:r>
        <w:rPr>
          <w:noProof w:val="0"/>
        </w:rPr>
        <w:t>90 % din consumul final brut de energie în sistemele de încălzire și răcire centralizată are loc în sisteme eficiente de încălzire și răcire centralizată.</w:t>
      </w:r>
    </w:p>
    <w:p w14:paraId="77A0A694" w14:textId="77777777" w:rsidR="006A06E7" w:rsidRDefault="006A06E7" w:rsidP="00ED18D4">
      <w:pPr>
        <w:rPr>
          <w:noProof w:val="0"/>
        </w:rPr>
      </w:pPr>
    </w:p>
    <w:p w14:paraId="585E6FD2" w14:textId="1820FE59" w:rsidR="00A46E11" w:rsidRDefault="00A46E11" w:rsidP="00ED18D4">
      <w:pPr>
        <w:pStyle w:val="Heading5"/>
      </w:pPr>
      <w:r>
        <w:t>- Art. 25 se modifică și va avea următorul cuprins:</w:t>
      </w:r>
    </w:p>
    <w:p w14:paraId="39F4BD68" w14:textId="77777777" w:rsidR="00A46E11" w:rsidRDefault="00A46E11" w:rsidP="00ED18D4">
      <w:pPr>
        <w:rPr>
          <w:noProof w:val="0"/>
        </w:rPr>
      </w:pPr>
      <w:r>
        <w:rPr>
          <w:noProof w:val="0"/>
        </w:rPr>
        <w:t>(1)</w:t>
      </w:r>
      <w:r>
        <w:rPr>
          <w:noProof w:val="0"/>
        </w:rPr>
        <w:tab/>
        <w:t>Furnizorii de combustibili au obligația de a se asigura că:</w:t>
      </w:r>
    </w:p>
    <w:p w14:paraId="7D130AC1" w14:textId="13F959B6" w:rsidR="00A46E11" w:rsidRDefault="00A46E11" w:rsidP="00ED18D4">
      <w:pPr>
        <w:pStyle w:val="ListParagraph"/>
        <w:numPr>
          <w:ilvl w:val="0"/>
          <w:numId w:val="190"/>
        </w:numPr>
        <w:rPr>
          <w:noProof w:val="0"/>
        </w:rPr>
      </w:pPr>
      <w:r>
        <w:rPr>
          <w:noProof w:val="0"/>
        </w:rPr>
        <w:t>cantitatea de combustibili din surse regenerabile și de energie electrică din surse regenerabile furnizată sectorului transporturilor conduce la:</w:t>
      </w:r>
    </w:p>
    <w:p w14:paraId="5E90955B" w14:textId="73E5835F" w:rsidR="00A46E11" w:rsidRDefault="00A46E11" w:rsidP="00ED18D4">
      <w:pPr>
        <w:pStyle w:val="ListParagraph"/>
        <w:numPr>
          <w:ilvl w:val="0"/>
          <w:numId w:val="191"/>
        </w:numPr>
        <w:rPr>
          <w:noProof w:val="0"/>
        </w:rPr>
      </w:pPr>
      <w:r>
        <w:rPr>
          <w:noProof w:val="0"/>
        </w:rPr>
        <w:t xml:space="preserve">o pondere a energiei din surse regenerabile în cadrul consumului final de energie în sectorul transporturilor de cel puțin 29 % până în 2030; </w:t>
      </w:r>
    </w:p>
    <w:p w14:paraId="6BBEBF03" w14:textId="77777777" w:rsidR="00A46E11" w:rsidRDefault="00A46E11" w:rsidP="00ED18D4">
      <w:pPr>
        <w:ind w:hanging="58"/>
        <w:rPr>
          <w:noProof w:val="0"/>
        </w:rPr>
      </w:pPr>
      <w:r>
        <w:rPr>
          <w:noProof w:val="0"/>
        </w:rPr>
        <w:t>sau</w:t>
      </w:r>
    </w:p>
    <w:p w14:paraId="0FB2D911" w14:textId="77777777" w:rsidR="00A46E11" w:rsidRDefault="00A46E11" w:rsidP="00ED18D4">
      <w:pPr>
        <w:ind w:firstLine="0"/>
        <w:rPr>
          <w:noProof w:val="0"/>
        </w:rPr>
      </w:pPr>
      <w:r>
        <w:rPr>
          <w:noProof w:val="0"/>
        </w:rPr>
        <w:t>(ii)</w:t>
      </w:r>
      <w:r>
        <w:rPr>
          <w:noProof w:val="0"/>
        </w:rPr>
        <w:tab/>
        <w:t xml:space="preserve"> o reducere a intensității gazelor cu efect de seră de cel puțin 14,5 % până în 2030, în comparație cu nivelul de referință stabilit la articolul 27 alineatul (1) punctul 2 în conformitate cu o traiectorie orientativă stabilită în PNIESC.</w:t>
      </w:r>
    </w:p>
    <w:p w14:paraId="5B3E2822" w14:textId="77777777" w:rsidR="00A46E11" w:rsidRDefault="00A46E11" w:rsidP="00ED18D4">
      <w:pPr>
        <w:rPr>
          <w:noProof w:val="0"/>
        </w:rPr>
      </w:pPr>
      <w:r>
        <w:rPr>
          <w:noProof w:val="0"/>
        </w:rPr>
        <w:t>b)</w:t>
      </w:r>
      <w:r>
        <w:rPr>
          <w:noProof w:val="0"/>
        </w:rPr>
        <w:tab/>
        <w:t xml:space="preserve">Ponderea combinată a biocombustibililor avansați și a biogazului produși din materiile prime enumerate în Anexa nr. 10 partea A a OUG nr. 80/2018, cu modificările și completările ulterioare și a combustibililor din surse regenerabile de origine nebiologică în consumul final de energie în sectorului transporturilor este de cel puțin 1 % în 2025 și 5,5 % în 2030, din care o pondere de cel puțin 1 % este din combustibili din surse regenerabile de origine nebiologică în 2030. </w:t>
      </w:r>
    </w:p>
    <w:p w14:paraId="7A967AB6" w14:textId="77777777" w:rsidR="00A46E11" w:rsidRDefault="00A46E11" w:rsidP="00ED18D4">
      <w:pPr>
        <w:rPr>
          <w:noProof w:val="0"/>
        </w:rPr>
      </w:pPr>
      <w:r>
        <w:rPr>
          <w:noProof w:val="0"/>
        </w:rPr>
        <w:t>(2)</w:t>
      </w:r>
      <w:r>
        <w:rPr>
          <w:noProof w:val="0"/>
        </w:rPr>
        <w:tab/>
        <w:t xml:space="preserve">Pentru îndeplinirea obligației prevăzute la alin. (1) lit. b) Ministerul de resort împreună ci MTI pot stabilii obiective diferențiate pentru biocombustibilii avansați și biogazul produși din materiile prime enumerate în Anexa nr. 10 partea A a OUG nr. 80/2018, cu modificările și completările ulterioare, și pentru combustibilii din surse regenerabile de origine nebiologică. </w:t>
      </w:r>
    </w:p>
    <w:p w14:paraId="79EE9A90" w14:textId="77777777" w:rsidR="00A46E11" w:rsidRDefault="00A46E11" w:rsidP="00ED18D4">
      <w:pPr>
        <w:rPr>
          <w:noProof w:val="0"/>
        </w:rPr>
      </w:pPr>
      <w:r>
        <w:rPr>
          <w:noProof w:val="0"/>
        </w:rPr>
        <w:t>(3)</w:t>
      </w:r>
      <w:r>
        <w:rPr>
          <w:noProof w:val="0"/>
        </w:rPr>
        <w:tab/>
        <w:t xml:space="preserve">Începând din 2030, ponderea combustibililor din surse regenerabile de origine nebiologică în consumul final de energie în sectorul transportului maritim este de cel puțin 1,2 %. </w:t>
      </w:r>
    </w:p>
    <w:p w14:paraId="640FF7EC" w14:textId="77777777" w:rsidR="00A46E11" w:rsidRDefault="00A46E11" w:rsidP="00ED18D4">
      <w:pPr>
        <w:rPr>
          <w:noProof w:val="0"/>
        </w:rPr>
      </w:pPr>
      <w:r>
        <w:rPr>
          <w:noProof w:val="0"/>
        </w:rPr>
        <w:t>(4)</w:t>
      </w:r>
      <w:r>
        <w:rPr>
          <w:noProof w:val="0"/>
        </w:rPr>
        <w:tab/>
        <w:t xml:space="preserve">Ponderea energiei din surse regenerabile în cadrul consumului final de energie în sectorul transporturilor, inclusiv în sectorul transportului maritim, precum și cu privire la reducerea intensității gazelor cu efect de seră vor fi puse de către MTI la dispoziția ministerului de resort în vederea includerii acestora în rapoartele naționale intermediare integrate privind energia și clima. </w:t>
      </w:r>
    </w:p>
    <w:p w14:paraId="53A6F50C" w14:textId="77777777" w:rsidR="00A46E11" w:rsidRDefault="00A46E11" w:rsidP="00ED18D4">
      <w:pPr>
        <w:rPr>
          <w:noProof w:val="0"/>
        </w:rPr>
      </w:pPr>
      <w:r>
        <w:rPr>
          <w:noProof w:val="0"/>
        </w:rPr>
        <w:t>(5)</w:t>
      </w:r>
      <w:r>
        <w:rPr>
          <w:noProof w:val="0"/>
        </w:rPr>
        <w:tab/>
        <w:t xml:space="preserve">Dacă lista materiilor prime prevăzută în Anexa nr. 10 partea A a OUG nr. 80/2018, cu modificările și completările ulterioare, se modifică, ponderea minimă a biocombustibililor </w:t>
      </w:r>
      <w:r>
        <w:rPr>
          <w:noProof w:val="0"/>
        </w:rPr>
        <w:lastRenderedPageBreak/>
        <w:t>avansați și a biogazului produși din materiile prime respective în consumul dinal de energie în sectorului transporturilor se poate majora.</w:t>
      </w:r>
    </w:p>
    <w:p w14:paraId="47139ECE" w14:textId="77777777" w:rsidR="00A46E11" w:rsidRDefault="00A46E11" w:rsidP="00ED18D4">
      <w:pPr>
        <w:rPr>
          <w:noProof w:val="0"/>
        </w:rPr>
      </w:pPr>
      <w:r>
        <w:rPr>
          <w:noProof w:val="0"/>
        </w:rPr>
        <w:t>(6)</w:t>
      </w:r>
      <w:r>
        <w:rPr>
          <w:noProof w:val="0"/>
        </w:rPr>
        <w:tab/>
        <w:t xml:space="preserve">Pentru calcularea obiectivelor și a ponderilor menționate la alin. (1), se va ține seama de: </w:t>
      </w:r>
    </w:p>
    <w:p w14:paraId="56C02FAF" w14:textId="77777777" w:rsidR="00A46E11" w:rsidRDefault="00A46E11" w:rsidP="00ED18D4">
      <w:pPr>
        <w:rPr>
          <w:noProof w:val="0"/>
        </w:rPr>
      </w:pPr>
      <w:r>
        <w:rPr>
          <w:noProof w:val="0"/>
        </w:rPr>
        <w:t>a)</w:t>
      </w:r>
      <w:r>
        <w:rPr>
          <w:noProof w:val="0"/>
        </w:rPr>
        <w:tab/>
        <w:t xml:space="preserve">combustibilii din surse regenerabile de origine nebiologică și atunci când aceștia sunt utilizați drept produs intermediar pentru producția de: </w:t>
      </w:r>
    </w:p>
    <w:p w14:paraId="25F2272A" w14:textId="77777777" w:rsidR="00A46E11" w:rsidRDefault="00A46E11" w:rsidP="00ED18D4">
      <w:pPr>
        <w:ind w:firstLine="0"/>
        <w:rPr>
          <w:noProof w:val="0"/>
        </w:rPr>
      </w:pPr>
      <w:r>
        <w:rPr>
          <w:noProof w:val="0"/>
        </w:rPr>
        <w:t xml:space="preserve">(i) combustibili convenționali pentru transport; </w:t>
      </w:r>
    </w:p>
    <w:p w14:paraId="55D540E3" w14:textId="77777777" w:rsidR="00A46E11" w:rsidRDefault="00A46E11" w:rsidP="00ED18D4">
      <w:pPr>
        <w:ind w:firstLine="0"/>
        <w:rPr>
          <w:noProof w:val="0"/>
        </w:rPr>
      </w:pPr>
      <w:r>
        <w:rPr>
          <w:noProof w:val="0"/>
        </w:rPr>
        <w:t xml:space="preserve">sau </w:t>
      </w:r>
    </w:p>
    <w:p w14:paraId="71271B01" w14:textId="77777777" w:rsidR="00A46E11" w:rsidRDefault="00A46E11" w:rsidP="00ED18D4">
      <w:pPr>
        <w:ind w:firstLine="0"/>
        <w:rPr>
          <w:noProof w:val="0"/>
        </w:rPr>
      </w:pPr>
      <w:r>
        <w:rPr>
          <w:noProof w:val="0"/>
        </w:rPr>
        <w:t>(ii) biocombustibili, cu condiția ca reducerea emisiilor de gaze cu efect de seră obținută prin utilizarea de combustibili din surse regenerabile de origine nebiologică să nu fie contabilizată la calcularea reducerilor emisiilor de gaze cu efect realizate prin utilizarea biocombustibililor.</w:t>
      </w:r>
    </w:p>
    <w:p w14:paraId="0443EDB4" w14:textId="77777777" w:rsidR="00A46E11" w:rsidRDefault="00A46E11" w:rsidP="00ED18D4">
      <w:pPr>
        <w:rPr>
          <w:noProof w:val="0"/>
        </w:rPr>
      </w:pPr>
      <w:r>
        <w:rPr>
          <w:noProof w:val="0"/>
        </w:rPr>
        <w:t>b)</w:t>
      </w:r>
      <w:r>
        <w:rPr>
          <w:noProof w:val="0"/>
        </w:rPr>
        <w:tab/>
        <w:t>biogazul injectat în infrastructura națională de transport și distribuție a gazelor.</w:t>
      </w:r>
    </w:p>
    <w:p w14:paraId="3D02BB14" w14:textId="77777777" w:rsidR="00A46E11" w:rsidRDefault="00A46E11" w:rsidP="00ED18D4">
      <w:pPr>
        <w:rPr>
          <w:noProof w:val="0"/>
        </w:rPr>
      </w:pPr>
      <w:r>
        <w:rPr>
          <w:noProof w:val="0"/>
        </w:rPr>
        <w:t>(7)</w:t>
      </w:r>
      <w:r>
        <w:rPr>
          <w:noProof w:val="0"/>
        </w:rPr>
        <w:tab/>
        <w:t xml:space="preserve">Pentru calcularea obiectivelor stabilite la alin. (1) lit. a) se pot lua în considerare combustibilii pe bază de carbon reciclat. </w:t>
      </w:r>
    </w:p>
    <w:p w14:paraId="2CCFB9F2" w14:textId="77777777" w:rsidR="00A46E11" w:rsidRDefault="00A46E11" w:rsidP="00ED18D4">
      <w:pPr>
        <w:rPr>
          <w:noProof w:val="0"/>
        </w:rPr>
      </w:pPr>
      <w:r>
        <w:rPr>
          <w:noProof w:val="0"/>
        </w:rPr>
        <w:t>(8)</w:t>
      </w:r>
      <w:r>
        <w:rPr>
          <w:noProof w:val="0"/>
        </w:rPr>
        <w:tab/>
        <w:t>În vederea stabilirii obligațiilor prevăzute la alin. (1), autoritățile competente pot:</w:t>
      </w:r>
    </w:p>
    <w:p w14:paraId="381D3DED" w14:textId="65AA5E59" w:rsidR="00A46E11" w:rsidRDefault="00A46E11" w:rsidP="00ED18D4">
      <w:pPr>
        <w:pStyle w:val="ListParagraph"/>
        <w:numPr>
          <w:ilvl w:val="0"/>
          <w:numId w:val="192"/>
        </w:numPr>
        <w:rPr>
          <w:noProof w:val="0"/>
        </w:rPr>
      </w:pPr>
      <w:r>
        <w:rPr>
          <w:noProof w:val="0"/>
        </w:rPr>
        <w:t xml:space="preserve">excepta furnizorii de combustibili care furnizează energie electrică sau de combustibili de origine nebiologică produși din surse regenerabile de la cerința de a respecta, în legătură cu acești combustibili, ponderea minimă a biocombustibililor avansați și a biogazului produși din materiile prime enumerate în Anexa nr. 10 partea A a OUG nr. 80/2018, cu modificările și completările ulterioare; </w:t>
      </w:r>
    </w:p>
    <w:p w14:paraId="54DD6BBD" w14:textId="3188FE6C" w:rsidR="00A46E11" w:rsidRDefault="00A46E11" w:rsidP="00ED18D4">
      <w:pPr>
        <w:pStyle w:val="ListParagraph"/>
        <w:numPr>
          <w:ilvl w:val="0"/>
          <w:numId w:val="192"/>
        </w:numPr>
        <w:rPr>
          <w:noProof w:val="0"/>
        </w:rPr>
      </w:pPr>
      <w:r>
        <w:rPr>
          <w:noProof w:val="0"/>
        </w:rPr>
        <w:t xml:space="preserve">stabili obligația prin măsuri care vizează volumele, conținutul energetic sau emisiile de gaze cu efect de seră; </w:t>
      </w:r>
    </w:p>
    <w:p w14:paraId="4D7B05CE" w14:textId="122E40E8" w:rsidR="00A46E11" w:rsidRDefault="00A46E11" w:rsidP="00ED18D4">
      <w:pPr>
        <w:pStyle w:val="ListParagraph"/>
        <w:numPr>
          <w:ilvl w:val="0"/>
          <w:numId w:val="192"/>
        </w:numPr>
        <w:rPr>
          <w:noProof w:val="0"/>
        </w:rPr>
      </w:pPr>
      <w:r>
        <w:rPr>
          <w:noProof w:val="0"/>
        </w:rPr>
        <w:t>face distincția între diferiții vectori energetici;</w:t>
      </w:r>
    </w:p>
    <w:p w14:paraId="039A8901" w14:textId="4B654B84" w:rsidR="00A46E11" w:rsidRDefault="00A46E11" w:rsidP="00ED18D4">
      <w:pPr>
        <w:pStyle w:val="ListParagraph"/>
        <w:numPr>
          <w:ilvl w:val="0"/>
          <w:numId w:val="192"/>
        </w:numPr>
        <w:rPr>
          <w:noProof w:val="0"/>
        </w:rPr>
      </w:pPr>
      <w:r>
        <w:rPr>
          <w:noProof w:val="0"/>
        </w:rPr>
        <w:t>face distincția între sectorul transportului maritim și alte sectoare.</w:t>
      </w:r>
    </w:p>
    <w:p w14:paraId="5A86A4AF" w14:textId="77777777" w:rsidR="00A46E11" w:rsidRDefault="00A46E11" w:rsidP="00ED18D4">
      <w:pPr>
        <w:rPr>
          <w:noProof w:val="0"/>
        </w:rPr>
      </w:pPr>
      <w:r>
        <w:rPr>
          <w:noProof w:val="0"/>
        </w:rPr>
        <w:t>(9)</w:t>
      </w:r>
      <w:r>
        <w:rPr>
          <w:noProof w:val="0"/>
        </w:rPr>
        <w:tab/>
        <w:t xml:space="preserve">Ministerul de resort împreună cu MTI instituie un mecanism care să permită furnizorilor de combustibili să facă schimb de credite pentru furnizarea de energie din surse regenerabile în sectorul transporturilor. </w:t>
      </w:r>
    </w:p>
    <w:p w14:paraId="7A68A5B0" w14:textId="1B21DBEC" w:rsidR="00A46E11" w:rsidRDefault="00A46E11" w:rsidP="00ED18D4">
      <w:pPr>
        <w:rPr>
          <w:noProof w:val="0"/>
        </w:rPr>
      </w:pPr>
      <w:r>
        <w:rPr>
          <w:noProof w:val="0"/>
        </w:rPr>
        <w:t>(10)</w:t>
      </w:r>
      <w:r>
        <w:rPr>
          <w:noProof w:val="0"/>
        </w:rPr>
        <w:tab/>
      </w:r>
      <w:r w:rsidR="00F72B0B">
        <w:rPr>
          <w:noProof w:val="0"/>
        </w:rPr>
        <w:t xml:space="preserve"> </w:t>
      </w:r>
      <w:r>
        <w:rPr>
          <w:noProof w:val="0"/>
        </w:rPr>
        <w:t>În sensul prevederilor de la alin. (9) mecanismul se referă la posibilitatea ca operatorii economici care furnizează energie electrică din surse regenerabile vehiculelor electrice prin puncte publice de reîncărcare primesc credite, indiferent dacă operatorii economici fac obiectul prevăzută la alineatele (1) și pot vinde creditele respective furnizorilor de combustibili, cărora li se permite să utilizeze creditele pentru a îndeplini obligația prevăzută la alin. (1). Respectivul mecanism poate include puncte de reîncărcare private, cu condiția să se poată demonstra că energia electrică din surse regenerabile livrată acestor puncte de reîncărcare private este furnizată exclusiv vehiculelor electrice.</w:t>
      </w:r>
    </w:p>
    <w:p w14:paraId="475BBDB1" w14:textId="3A87E01D" w:rsidR="00A46E11" w:rsidRDefault="00F72B0B" w:rsidP="00ED18D4">
      <w:pPr>
        <w:pStyle w:val="Heading5"/>
      </w:pPr>
      <w:r>
        <w:t xml:space="preserve">- </w:t>
      </w:r>
      <w:r w:rsidR="00A46E11">
        <w:t>La art. 26 se modifică alin (1) cu următorul cuprins:</w:t>
      </w:r>
    </w:p>
    <w:p w14:paraId="2588FBE1" w14:textId="77777777" w:rsidR="00A46E11" w:rsidRDefault="00A46E11" w:rsidP="00ED18D4">
      <w:pPr>
        <w:rPr>
          <w:noProof w:val="0"/>
        </w:rPr>
      </w:pPr>
      <w:r>
        <w:rPr>
          <w:noProof w:val="0"/>
        </w:rPr>
        <w:t xml:space="preserve">(1) Pentru calcularea consumului final brut de energie din surse regenerabile menționat la art. 7 și a ponderii minime a energiei din surse regenerabile și a obiectivului de reducere a intensității gazelor cu efect de seră menționat la art. 25 alin. (1) lit. a), ponderea biocombustibililor și a biolichidelor, precum și a combustibililor din biomasă consumați în </w:t>
      </w:r>
      <w:r>
        <w:rPr>
          <w:noProof w:val="0"/>
        </w:rPr>
        <w:lastRenderedPageBreak/>
        <w:t>transporturi, dacă sunt produși din culturi alimentare și furajere, nu depășește cu mai mult de 1 % ponderea acestor combustibili în consumul final de energie în sectorul transporturilor în 2020, până la maximum 7 % din consumul final de energie în sectorul transporturilor.</w:t>
      </w:r>
    </w:p>
    <w:p w14:paraId="1333B2A5" w14:textId="2A696461" w:rsidR="00A46E11" w:rsidRDefault="00F72B0B" w:rsidP="00ED18D4">
      <w:pPr>
        <w:pStyle w:val="Heading5"/>
      </w:pPr>
      <w:r>
        <w:t xml:space="preserve">- </w:t>
      </w:r>
      <w:r w:rsidR="00A46E11">
        <w:t>La art. 26 după alin. (1) se introduce un nou alin. (1^1) cu următorul cuprins:</w:t>
      </w:r>
    </w:p>
    <w:p w14:paraId="4159177E" w14:textId="77777777" w:rsidR="00A46E11" w:rsidRDefault="00A46E11" w:rsidP="00ED18D4">
      <w:pPr>
        <w:rPr>
          <w:noProof w:val="0"/>
        </w:rPr>
      </w:pPr>
      <w:r>
        <w:rPr>
          <w:noProof w:val="0"/>
        </w:rPr>
        <w:t>(1^1) În cazul în care ponderea biocombustibililor și a biolichidelor, precum și a combustibililor din biomasă consumați în transporturi, produși din culturi alimentare și furajere este limitată la o pondere mai scăzută de 7 % sau este limitată și mai mult față de acest prag, ponderea minimă a energiei din surse regenerabile sau obiectivul de reducere a intensității gazelor cu efect de seră menționat la art. 25 alin. (1) lit. a) pot fi reduse în mod corespunzător având în vedere contribuția pe care respectivii combustibili ar fi adus-o la ponderea minimă a energiei din surse regenerabile sau la reducerea emisiilor de gaze cu efect de seră; în scopul obiectivului de reducere a intensității gazelor cu efect de seră, România ia în considerare faptul că respectivii combustibili reduc cu 50 % emisiile de gaze cu efect de seră.</w:t>
      </w:r>
    </w:p>
    <w:p w14:paraId="692D58C6" w14:textId="290BEC6A" w:rsidR="00A46E11" w:rsidRDefault="00F72B0B" w:rsidP="00ED18D4">
      <w:pPr>
        <w:pStyle w:val="Heading5"/>
      </w:pPr>
      <w:r>
        <w:t xml:space="preserve">- </w:t>
      </w:r>
      <w:r w:rsidR="00A46E11">
        <w:t>La art. 26 se modifică alin. (2) cu următorul cuprins:</w:t>
      </w:r>
    </w:p>
    <w:p w14:paraId="78CFA1A9" w14:textId="01C0723A" w:rsidR="008B1DA0" w:rsidRDefault="00F72B0B" w:rsidP="00ED18D4">
      <w:pPr>
        <w:rPr>
          <w:noProof w:val="0"/>
        </w:rPr>
      </w:pPr>
      <w:r>
        <w:rPr>
          <w:noProof w:val="0"/>
        </w:rPr>
        <w:t xml:space="preserve">(2)  </w:t>
      </w:r>
      <w:r w:rsidR="00A46E11">
        <w:rPr>
          <w:noProof w:val="0"/>
        </w:rPr>
        <w:t>Pentru calcularea consumului final brut de energie din surse regenerabile prevăzut la art. (7) și a ponderii minime a energiei din surse regenerabile și a obiectivului de reducere a intensității gazelor cu efect de seră prevăzuți la art. 25 alin. (1) lit. a) și a combustibililor din biomasă produși din culturi alimentare și furajere care prezintă riscuri ridicate din perspectiva schimbării indirecte a destinației terenurilor, pentru care se observă o expansiune semnificativă a suprafeței de producție în detrimentul terenurilor care stochează cantități ridicate de carbon, nu depășesc nivelul de consum al acestor tipuri de combustibili la nivelul anului 2019, cu excepția cazului în care sunt certificați drept biocombustibili, biolichide sau combustibili din biomasă care prezintă riscuri reduse din perspectiva schimbării indirecte a destinației terenurilor.</w:t>
      </w:r>
    </w:p>
    <w:p w14:paraId="1968DA9D" w14:textId="58F70B35" w:rsidR="00F72B0B" w:rsidRDefault="00F72B0B" w:rsidP="00ED18D4">
      <w:pPr>
        <w:pStyle w:val="Heading5"/>
      </w:pPr>
      <w:r>
        <w:t>Art. 27 se modifică și va avea următorul cuprins:</w:t>
      </w:r>
    </w:p>
    <w:p w14:paraId="669777F9" w14:textId="77777777" w:rsidR="00F72B0B" w:rsidRDefault="00F72B0B" w:rsidP="00ED18D4">
      <w:pPr>
        <w:rPr>
          <w:noProof w:val="0"/>
        </w:rPr>
      </w:pPr>
      <w:r>
        <w:rPr>
          <w:noProof w:val="0"/>
        </w:rPr>
        <w:t>(1) În aplicarea art. 25 alin. (1) lit. a) pct. (ii) pentru calcularea reducerii intensității gazelor cu efect de seră se calculează după cum urmează:</w:t>
      </w:r>
    </w:p>
    <w:p w14:paraId="5BE27B79" w14:textId="77777777" w:rsidR="00F72B0B" w:rsidRDefault="00F72B0B" w:rsidP="00ED18D4">
      <w:pPr>
        <w:rPr>
          <w:noProof w:val="0"/>
        </w:rPr>
      </w:pPr>
      <w:r>
        <w:rPr>
          <w:noProof w:val="0"/>
        </w:rPr>
        <w:t xml:space="preserve">a)  reducerile de emisii de gaze cu efect de seră se calculează după cum urmează: </w:t>
      </w:r>
    </w:p>
    <w:p w14:paraId="1AA7C001" w14:textId="77777777" w:rsidR="00F72B0B" w:rsidRDefault="00F72B0B" w:rsidP="00ED18D4">
      <w:pPr>
        <w:ind w:left="836"/>
        <w:rPr>
          <w:noProof w:val="0"/>
        </w:rPr>
      </w:pPr>
      <w:r>
        <w:rPr>
          <w:noProof w:val="0"/>
        </w:rPr>
        <w:t>(i) pentru biocombustibili și biogaz, prin înmulțirea cantității de astfel de combustibili furnizată tuturor modurilor de transport cu reducerile lor de emisii de gaze cu efect de seră determinate în conformitate cu art. 31;</w:t>
      </w:r>
    </w:p>
    <w:p w14:paraId="307DA12F" w14:textId="77777777" w:rsidR="00F72B0B" w:rsidRDefault="00F72B0B" w:rsidP="00ED18D4">
      <w:pPr>
        <w:ind w:left="836"/>
        <w:rPr>
          <w:noProof w:val="0"/>
        </w:rPr>
      </w:pPr>
      <w:r>
        <w:rPr>
          <w:noProof w:val="0"/>
        </w:rPr>
        <w:t xml:space="preserve"> (ii) pentru combustibilii din surse regenerabile de origine nebiologică și combustibilii pe bază de carbon reciclat, prin înmulțirea cantității combustibililor respectivi care este furnizată tuturor modurilor de transport cu reducerile lor de emisii de gaze cu efect de seră determinate în conformitate cu actele delegate adoptate de către Comisie în temeiul art. 29a alin. (3);</w:t>
      </w:r>
    </w:p>
    <w:p w14:paraId="5E9D521A" w14:textId="77777777" w:rsidR="00F72B0B" w:rsidRDefault="00F72B0B" w:rsidP="00ED18D4">
      <w:pPr>
        <w:ind w:left="836"/>
        <w:rPr>
          <w:noProof w:val="0"/>
        </w:rPr>
      </w:pPr>
      <w:r>
        <w:rPr>
          <w:noProof w:val="0"/>
        </w:rPr>
        <w:t>(iii) pentru energia electrică din surse regenerabile, prin înmulțirea cantității de energie electrică din surse regenerabile furnizată tuturor modurilor de transport cu omologul combustibil fosil ECF(e) prevăzut în anexa nr. 6 a OUG nr. 80/2018;</w:t>
      </w:r>
    </w:p>
    <w:p w14:paraId="54639AF7" w14:textId="77777777" w:rsidR="00F72B0B" w:rsidRDefault="00F72B0B" w:rsidP="00ED18D4">
      <w:pPr>
        <w:rPr>
          <w:noProof w:val="0"/>
        </w:rPr>
      </w:pPr>
      <w:r>
        <w:rPr>
          <w:noProof w:val="0"/>
        </w:rPr>
        <w:lastRenderedPageBreak/>
        <w:t xml:space="preserve">b) nivelul de referință menționat la art. 25 alin. (1) lit. a) pct. (i) se calculează până la 31 decembrie 2030 înmulțind cantitatea de energie furnizată sectorului transporturilor cu omologul combustibil fosil EF(t) prevăzut în anexa nr. 6 a OUG nr. 80/2018; de la 1 ianuarie 2031, nivelul de referință menționat la art. 25 alin. (1) litera (b) este suma dintre: </w:t>
      </w:r>
    </w:p>
    <w:p w14:paraId="0C3CE8AD" w14:textId="77777777" w:rsidR="00F72B0B" w:rsidRDefault="00F72B0B" w:rsidP="00ED18D4">
      <w:pPr>
        <w:ind w:left="836"/>
        <w:rPr>
          <w:noProof w:val="0"/>
        </w:rPr>
      </w:pPr>
      <w:r>
        <w:rPr>
          <w:noProof w:val="0"/>
        </w:rPr>
        <w:t xml:space="preserve">(i) cantitatea de combustibili furnizată tuturor modurilor de transport înmulțită cu omologul combustibil fosil EF(t) prevăzut în anexa nr. 6 a OUG nr. 80/2018; </w:t>
      </w:r>
    </w:p>
    <w:p w14:paraId="17B6DA64" w14:textId="77777777" w:rsidR="00F72B0B" w:rsidRDefault="00F72B0B" w:rsidP="00ED18D4">
      <w:pPr>
        <w:ind w:left="836"/>
        <w:rPr>
          <w:noProof w:val="0"/>
        </w:rPr>
      </w:pPr>
      <w:r>
        <w:rPr>
          <w:noProof w:val="0"/>
        </w:rPr>
        <w:t xml:space="preserve">(ii) cantitatea de energie electrică furnizată tuturor modurilor de transport înmulțită cu omologul combustibil fosil EF(t) prevăzut în anexa nr. 6 din OUG nr. 80/2018; </w:t>
      </w:r>
    </w:p>
    <w:p w14:paraId="5CE4E1E1" w14:textId="77777777" w:rsidR="00F72B0B" w:rsidRDefault="00F72B0B" w:rsidP="00ED18D4">
      <w:pPr>
        <w:rPr>
          <w:noProof w:val="0"/>
        </w:rPr>
      </w:pPr>
      <w:r>
        <w:rPr>
          <w:noProof w:val="0"/>
        </w:rPr>
        <w:t xml:space="preserve">c) pentru calcularea cantităților relevante de energie, se aplică următoarele reguli: </w:t>
      </w:r>
    </w:p>
    <w:p w14:paraId="53BA4D61" w14:textId="77777777" w:rsidR="00F72B0B" w:rsidRDefault="00F72B0B" w:rsidP="00ED18D4">
      <w:pPr>
        <w:ind w:left="836"/>
        <w:rPr>
          <w:noProof w:val="0"/>
        </w:rPr>
      </w:pPr>
      <w:r>
        <w:rPr>
          <w:noProof w:val="0"/>
        </w:rPr>
        <w:t xml:space="preserve">(i) pentru a determina cantitatea de energie furnizată sectorului transporturilor, se utilizează valorile privind conținutul energetic al combustibililor utilizați în transporturi stabilite în tabelul 3^2 din Anexa nr. 1 a OUG nr. 80/2018; </w:t>
      </w:r>
    </w:p>
    <w:p w14:paraId="2D375782" w14:textId="77777777" w:rsidR="00F72B0B" w:rsidRDefault="00F72B0B" w:rsidP="00ED18D4">
      <w:pPr>
        <w:ind w:left="836"/>
        <w:rPr>
          <w:noProof w:val="0"/>
        </w:rPr>
      </w:pPr>
      <w:r>
        <w:rPr>
          <w:noProof w:val="0"/>
        </w:rPr>
        <w:t xml:space="preserve">(ii) pentru stabilirea conținutului energetic al combustibililor utilizați în transporturi care nu sunt incluși în tabelul 3^2 din Anexa nr. 1 a OUG nr. 80/2018, se utilizează standardele europene relevante pentru determinarea puterii calorifice a combustibililor, sau, în cazul în care nu a fost adoptat în acest sens niciun standard european, standardele ISO relevante; </w:t>
      </w:r>
    </w:p>
    <w:p w14:paraId="3F24E4D4" w14:textId="77777777" w:rsidR="00F72B0B" w:rsidRDefault="00F72B0B" w:rsidP="00ED18D4">
      <w:pPr>
        <w:ind w:left="836"/>
        <w:rPr>
          <w:noProof w:val="0"/>
        </w:rPr>
      </w:pPr>
      <w:r>
        <w:rPr>
          <w:noProof w:val="0"/>
        </w:rPr>
        <w:t xml:space="preserve">(iii) cantitatea de energie electrică din surse regenerabile furnizată sectorului transporturilor se determină prin înmulțirea cantității de energie electrică furnizată sectorului respectiv cu ponderea medie a energiei electrice din surse regenerabile în cei doi ani precedenți, cu excepția cazului în care energia electrică este obținută prin racordarea directă la o instalație care produce energie electrică din surse regenerabile și este furnizată sectorului transporturilor, caz în care energia electrică respectivă se consideră a fi în totalitate din surse regenerabile, iar energia electrică produsă de un vehicul electric solar și utilizată pentru consumul vehiculului în sine poate fi considerată a fi în totalitate din surse regenerabile; </w:t>
      </w:r>
    </w:p>
    <w:p w14:paraId="056B6140" w14:textId="77777777" w:rsidR="00F72B0B" w:rsidRDefault="00F72B0B" w:rsidP="00ED18D4">
      <w:pPr>
        <w:ind w:left="836"/>
        <w:rPr>
          <w:noProof w:val="0"/>
        </w:rPr>
      </w:pPr>
      <w:r>
        <w:rPr>
          <w:noProof w:val="0"/>
        </w:rPr>
        <w:t>(iv) ponderea biocombustibililor și a biogazului produși din materiile prime enumerate în anexa nr. 10, partea B din OUG nr. 80/2018 în conținutul energetic al combustibililor și al energiei electrice furnizate sectorului transporturilor este limitată la 1,7 %; limita poate fi  majorata în mod justificat, ținând cont de disponibilitatea materiilor prime enumerate în anexa nr. 10, partea B din OUG nr. 80/2018 fiind notificată și supusă aprobării Comisiei.</w:t>
      </w:r>
    </w:p>
    <w:p w14:paraId="28BF3585" w14:textId="77777777" w:rsidR="00F72B0B" w:rsidRDefault="00F72B0B" w:rsidP="00ED18D4">
      <w:pPr>
        <w:rPr>
          <w:noProof w:val="0"/>
        </w:rPr>
      </w:pPr>
      <w:r>
        <w:rPr>
          <w:noProof w:val="0"/>
        </w:rPr>
        <w:t xml:space="preserve">d) reducerea intensității gazelor cu efect de seră prin utilizarea energiei din surse regenerabile se determină prin împărțirea cantității de emisii de gaze cu efect de seră reduse prin utilizarea biocombustibililor, a biogazului, a combustibililor din surse regenerabile de origine nebiologică și a energiei electrice din surse regenerabile furnizate tuturor modurilor de transport la nivelul de referință; se pot lua în considerare combustibilii pe bază de carbon reciclat. </w:t>
      </w:r>
    </w:p>
    <w:p w14:paraId="4A74F23A" w14:textId="16EDCC89" w:rsidR="00F72B0B" w:rsidRDefault="00F72B0B" w:rsidP="00ED18D4">
      <w:pPr>
        <w:pStyle w:val="Heading5"/>
      </w:pPr>
      <w:r>
        <w:t>În aplicarea art. 25 alin. (1) lit. a) pct. (i) și lit. b) pentru calcularea ponderilor minime se va ține cont de următoarele:</w:t>
      </w:r>
    </w:p>
    <w:p w14:paraId="037D7CC8" w14:textId="77777777" w:rsidR="00F72B0B" w:rsidRDefault="00F72B0B" w:rsidP="00ED18D4">
      <w:pPr>
        <w:rPr>
          <w:noProof w:val="0"/>
        </w:rPr>
      </w:pPr>
      <w:r>
        <w:rPr>
          <w:noProof w:val="0"/>
        </w:rPr>
        <w:lastRenderedPageBreak/>
        <w:t xml:space="preserve">a) pentru calcularea numitorului, și anume cantitatea de energie consumată în sectorul transporturilor, se iau în considerare toți combustibilii și energia electrică furnizate sectorului transporturilor; </w:t>
      </w:r>
    </w:p>
    <w:p w14:paraId="0028B2BE" w14:textId="3BCC530D" w:rsidR="00F72B0B" w:rsidRDefault="00F72B0B" w:rsidP="00ED18D4">
      <w:pPr>
        <w:rPr>
          <w:noProof w:val="0"/>
        </w:rPr>
      </w:pPr>
      <w:r>
        <w:rPr>
          <w:noProof w:val="0"/>
        </w:rPr>
        <w:t xml:space="preserve">b) pentru calcularea numărătorului, care este cantitatea de energie din surse regenerabile consumată în sectorul transporturilor, se ia în considerare conținutul energetic al tuturor tipurilor de energie din surse regenerabile furnizate tuturor modurilor de transport, inclusiv buncherajului maritim internațional; se pot lua în considerare combustibilii pe bază de carbon reciclat; </w:t>
      </w:r>
    </w:p>
    <w:p w14:paraId="345DCB56" w14:textId="289AE4CD" w:rsidR="00F72B0B" w:rsidRDefault="00F72B0B" w:rsidP="00ED18D4">
      <w:pPr>
        <w:rPr>
          <w:noProof w:val="0"/>
        </w:rPr>
      </w:pPr>
      <w:r>
        <w:rPr>
          <w:noProof w:val="0"/>
        </w:rPr>
        <w:t>c) ponderea biocombustibililor și a biogazului produși din materiile prime enumerate în anexa nr. 10 din OUG nr. 80/2018 și a combustibililor din surse regenerabile de origine nebiologică se consideră a fi egală cu de două ori conținutul lor energetic;</w:t>
      </w:r>
    </w:p>
    <w:p w14:paraId="0D4E7172" w14:textId="59486676" w:rsidR="00F72B0B" w:rsidRDefault="00F72B0B" w:rsidP="00ED18D4">
      <w:pPr>
        <w:rPr>
          <w:noProof w:val="0"/>
        </w:rPr>
      </w:pPr>
      <w:r>
        <w:rPr>
          <w:noProof w:val="0"/>
        </w:rPr>
        <w:t xml:space="preserve"> d) ponderea energiei electrice din surse regenerabile este considerată a fi egală cu de patru ori conținutul său energetic atunci când este furnizată vehiculelor rutiere și poate fi considerată a fi de 1,5 ori conținutul său energetic atunci când este furnizată transportului feroviar; </w:t>
      </w:r>
    </w:p>
    <w:p w14:paraId="1562E40E" w14:textId="498F9C7A" w:rsidR="00F72B0B" w:rsidRDefault="00F72B0B" w:rsidP="00ED18D4">
      <w:pPr>
        <w:rPr>
          <w:noProof w:val="0"/>
        </w:rPr>
      </w:pPr>
      <w:r>
        <w:rPr>
          <w:noProof w:val="0"/>
        </w:rPr>
        <w:t>e) ponderea biocombustibililor avansați și a biogazului produși din materiile prime enumerate în anexa nr. 10, partea A din OUG nr. 80/2018 furnizați în modurile de transport aerian și maritim se consideră a fi de 1,2 ori conținutul lor energetic și ponderea combustibililor din surse regenerabile de origine nebiologică furnizați în modurile de transport aerian și maritim se consideră a fi de 1,5 ori conținutul lor energetic;</w:t>
      </w:r>
    </w:p>
    <w:p w14:paraId="0DD3A510" w14:textId="2572C578" w:rsidR="00F72B0B" w:rsidRDefault="00F72B0B" w:rsidP="00ED18D4">
      <w:pPr>
        <w:rPr>
          <w:noProof w:val="0"/>
        </w:rPr>
      </w:pPr>
      <w:r>
        <w:rPr>
          <w:noProof w:val="0"/>
        </w:rPr>
        <w:t>f) ponderea biocombustibililor și a biogazului produși din materiile prime enumerate în anexa nr. 10, partea B din OUG nr. 80/2018 în conținutul energetic al combustibililor și al energiei electrice furnizate sectorului transporturilor este limitată la 1,7 %;</w:t>
      </w:r>
    </w:p>
    <w:p w14:paraId="0B6FFE3A" w14:textId="3F0E5B92" w:rsidR="00F72B0B" w:rsidRDefault="00F72B0B" w:rsidP="00ED18D4">
      <w:pPr>
        <w:rPr>
          <w:noProof w:val="0"/>
        </w:rPr>
      </w:pPr>
      <w:r>
        <w:rPr>
          <w:noProof w:val="0"/>
        </w:rPr>
        <w:t>g) pentru a determina cantitatea de energie furnizată sectorului transporturilor, se utilizează valorile privind conținutul energetic al combustibililor utilizați în transporturi stabilite în anexa nr. 1, tabelul 3^2 din OUG nr. 80/2018;</w:t>
      </w:r>
    </w:p>
    <w:p w14:paraId="6278BF60" w14:textId="24DBB4C0" w:rsidR="00F72B0B" w:rsidRDefault="00F72B0B" w:rsidP="00ED18D4">
      <w:pPr>
        <w:rPr>
          <w:noProof w:val="0"/>
        </w:rPr>
      </w:pPr>
      <w:r>
        <w:rPr>
          <w:noProof w:val="0"/>
        </w:rPr>
        <w:t xml:space="preserve"> h) pentru stabilirea conținutului energetic al combustibililor utilizați în transporturi care nu sunt incluși în anexa nr. 1, tabelul 3^2 din OUG nr. 80/2018, se utilizează standardele europene relevante pentru determinarea puterii calorifice a combustibililor, sau, în cazul în care nu a fost adoptat în acest sens niciun standard european, standardele ISO relevante;</w:t>
      </w:r>
    </w:p>
    <w:p w14:paraId="4D52AA94" w14:textId="1BB1F2E2" w:rsidR="00F72B0B" w:rsidRDefault="00F72B0B" w:rsidP="00ED18D4">
      <w:pPr>
        <w:rPr>
          <w:noProof w:val="0"/>
        </w:rPr>
      </w:pPr>
      <w:r>
        <w:rPr>
          <w:noProof w:val="0"/>
        </w:rPr>
        <w:t xml:space="preserve"> i) cantitatea de energie electrică din surse regenerabile furnizată sectorului transporturilor se determină prin înmulțirea cantității de energie electrică furnizată sectorului respectiv cu ponderea medie a energiei electrice din surse regenerabile, furnizată în cei doi ani precedenți, cu excepția cazului în care energia electrică este obținută prin racordarea directă la o instalație care produce energie electrică din surse regenerabile și este furnizată sectorului transporturilor, caz în care energia electrică respectivă se consideră a fi în totalitate din surse regenerabile, iar energia electrică produsă de un vehicul electric solar și utilizată pentru consumul vehiculului în sine poate fi considerată a fi în totalitate din surse regenerabile. </w:t>
      </w:r>
    </w:p>
    <w:p w14:paraId="7766CE66" w14:textId="77777777" w:rsidR="00F72B0B" w:rsidRDefault="00F72B0B" w:rsidP="00ED18D4">
      <w:pPr>
        <w:rPr>
          <w:noProof w:val="0"/>
        </w:rPr>
      </w:pPr>
      <w:r>
        <w:rPr>
          <w:noProof w:val="0"/>
        </w:rPr>
        <w:t>j) Dacă este justificat, România poate majora limita menționată la lit. (f), ținând cont de disponibilitatea materiilor prime enumerate în anexa nr. 10, partea B din OUG nr. 80/2018; fiind notificată și supusă aprobării Comisiei.</w:t>
      </w:r>
    </w:p>
    <w:p w14:paraId="3E0908B4" w14:textId="2C25710D" w:rsidR="00F72B0B" w:rsidRPr="00F72B0B" w:rsidRDefault="00F72B0B" w:rsidP="00ED18D4">
      <w:pPr>
        <w:pStyle w:val="Heading5"/>
        <w:rPr>
          <w:b w:val="0"/>
          <w:bCs w:val="0"/>
        </w:rPr>
      </w:pPr>
      <w:r w:rsidRPr="00F72B0B">
        <w:rPr>
          <w:rStyle w:val="Heading5Char"/>
          <w:b/>
          <w:bCs/>
        </w:rPr>
        <w:lastRenderedPageBreak/>
        <w:t>- La art. 27 după alin. (6) se introduc două noi alin. (6^1) și (6^2) cu u</w:t>
      </w:r>
      <w:r>
        <w:rPr>
          <w:rStyle w:val="Heading5Char"/>
          <w:b/>
          <w:bCs/>
        </w:rPr>
        <w:t>r</w:t>
      </w:r>
      <w:r w:rsidRPr="00F72B0B">
        <w:rPr>
          <w:rStyle w:val="Heading5Char"/>
          <w:b/>
          <w:bCs/>
        </w:rPr>
        <w:t>mătorul cuprins</w:t>
      </w:r>
      <w:r w:rsidRPr="00F72B0B">
        <w:rPr>
          <w:b w:val="0"/>
          <w:bCs w:val="0"/>
        </w:rPr>
        <w:t>:</w:t>
      </w:r>
    </w:p>
    <w:p w14:paraId="7B9FBFB9" w14:textId="77777777" w:rsidR="00F72B0B" w:rsidRDefault="00F72B0B" w:rsidP="00ED18D4">
      <w:pPr>
        <w:rPr>
          <w:noProof w:val="0"/>
        </w:rPr>
      </w:pPr>
      <w:r>
        <w:rPr>
          <w:noProof w:val="0"/>
        </w:rPr>
        <w:t>(6^1) Energia electrică obținută prin racordarea directă la o instalație care produce energie electrică poate fi considerată a fi în totalitate din surse regenerabile, atunci când este utilizată pentru producția de combustibili din surse regenerabile de origine nebiologică, cu condiția ca instalația:</w:t>
      </w:r>
    </w:p>
    <w:p w14:paraId="3A8B1059" w14:textId="77777777" w:rsidR="00F72B0B" w:rsidRDefault="00F72B0B" w:rsidP="00ED18D4">
      <w:pPr>
        <w:rPr>
          <w:noProof w:val="0"/>
        </w:rPr>
      </w:pPr>
      <w:r>
        <w:rPr>
          <w:noProof w:val="0"/>
        </w:rPr>
        <w:t>a) să intre în funcțiune după sau în același timp cu instalația care produce combustibilul de origine nebiologică produs din surse regenerabile și utilizat în transporturi; și</w:t>
      </w:r>
    </w:p>
    <w:p w14:paraId="03FEEECB" w14:textId="77777777" w:rsidR="00F72B0B" w:rsidRDefault="00F72B0B" w:rsidP="00ED18D4">
      <w:pPr>
        <w:rPr>
          <w:noProof w:val="0"/>
        </w:rPr>
      </w:pPr>
      <w:r>
        <w:rPr>
          <w:noProof w:val="0"/>
        </w:rPr>
        <w:t>b) să nu fie racordată la rețea sau, dacă este racordată la rețea, să se poată furniza dovezi că energia electrică în cauză a fost furnizată fără a prelua energie electrică din rețea.</w:t>
      </w:r>
    </w:p>
    <w:p w14:paraId="661B87A8" w14:textId="77777777" w:rsidR="00F72B0B" w:rsidRDefault="00F72B0B" w:rsidP="00ED18D4">
      <w:pPr>
        <w:rPr>
          <w:noProof w:val="0"/>
        </w:rPr>
      </w:pPr>
      <w:r>
        <w:rPr>
          <w:noProof w:val="0"/>
        </w:rPr>
        <w:t>(6^2) Energia electrică care a fost preluată din rețea poate fi considerată a fi în totalitate din surse regenerabile cu condiția ca aceasta să fie produsă exclusiv din surse regenerabile și caracteristicile regenerabile și alte criterii corespunzătoare să fi fost demonstrate, asigurându-se faptul că în ceea ce privește energia electrică în cauză caracteristicile regenerabile sunt contabilizate o singură dată și într-un singur sector de utilizare finală.</w:t>
      </w:r>
    </w:p>
    <w:p w14:paraId="493034C9" w14:textId="393D9700" w:rsidR="00F72B0B" w:rsidRDefault="00F72B0B" w:rsidP="00ED18D4">
      <w:pPr>
        <w:pStyle w:val="Heading5"/>
      </w:pPr>
      <w:r>
        <w:t>Se abrogă articolul 28.</w:t>
      </w:r>
    </w:p>
    <w:p w14:paraId="5965ED6B" w14:textId="44884449" w:rsidR="00F72B0B" w:rsidRDefault="00F72B0B" w:rsidP="00ED18D4">
      <w:pPr>
        <w:pStyle w:val="Heading5"/>
      </w:pPr>
      <w:r>
        <w:t>La art. 29 se modifică alin. (1) lit. a) și va avea următorul cuprins:</w:t>
      </w:r>
    </w:p>
    <w:p w14:paraId="3651F903" w14:textId="77777777" w:rsidR="00F72B0B" w:rsidRDefault="00F72B0B" w:rsidP="00ED18D4">
      <w:pPr>
        <w:rPr>
          <w:noProof w:val="0"/>
        </w:rPr>
      </w:pPr>
      <w:r>
        <w:rPr>
          <w:noProof w:val="0"/>
        </w:rPr>
        <w:t>a)</w:t>
      </w:r>
      <w:r>
        <w:rPr>
          <w:noProof w:val="0"/>
        </w:rPr>
        <w:tab/>
        <w:t>contribuția la ponderile de energie din surse regenerabile și la obiectivele menționate la art. 3 alin. (1) și (1^1,) art. (15^1) alin. (1) și (2), art. 22^1 alin. (1), art. 23 alin. (1) și alin. (2^1)-(2^8),  art. 24 alin. (4), (4^1) și (5^1) și art. 25 alin. (1)-(5).</w:t>
      </w:r>
    </w:p>
    <w:p w14:paraId="5BEBA8B5" w14:textId="58A56A24" w:rsidR="00F72B0B" w:rsidRDefault="00F72B0B" w:rsidP="00ED18D4">
      <w:pPr>
        <w:pStyle w:val="Heading5"/>
      </w:pPr>
      <w:r>
        <w:t>La art. 29 se modifică alin. (2) și va avea următorul cuprins:</w:t>
      </w:r>
    </w:p>
    <w:p w14:paraId="7AB40EDB" w14:textId="77777777" w:rsidR="00F72B0B" w:rsidRDefault="00F72B0B" w:rsidP="00ED18D4">
      <w:pPr>
        <w:rPr>
          <w:noProof w:val="0"/>
        </w:rPr>
      </w:pPr>
      <w:r>
        <w:rPr>
          <w:noProof w:val="0"/>
        </w:rPr>
        <w:t>(2)</w:t>
      </w:r>
      <w:r>
        <w:rPr>
          <w:noProof w:val="0"/>
        </w:rPr>
        <w:tab/>
        <w:t xml:space="preserve">Biocombustibilii, biolichidele și combustibilii din biomasă produși din deșeuri și din reziduuri, altele decât reziduurile din agricultură, acvacultură, pescuit și silvicultură, trebuie să îndeplinească numai criteriile de reducere a emisiilor de gaze cu efect de seră pentru a fi luate în considerare în scopurile menționate la literele a), b) și c); în cazul utilizării deșeurilor mixte, MMAP poate obliga operatorii să aplice sisteme de sortare a deșeurilor mixte, care să vizeze îndepărtarea materialelor fosile. </w:t>
      </w:r>
    </w:p>
    <w:p w14:paraId="68AAD600" w14:textId="151BCC69" w:rsidR="00F72B0B" w:rsidRDefault="00F72B0B" w:rsidP="00ED18D4">
      <w:pPr>
        <w:pStyle w:val="Heading5"/>
      </w:pPr>
      <w:r>
        <w:t>- După alin. (2) al art.29 se introduce un nou alin, alin. (2^1) cu următorul cuprins:</w:t>
      </w:r>
    </w:p>
    <w:p w14:paraId="7CE0B44F" w14:textId="77777777" w:rsidR="00F72B0B" w:rsidRDefault="00F72B0B" w:rsidP="00ED18D4">
      <w:pPr>
        <w:rPr>
          <w:noProof w:val="0"/>
        </w:rPr>
      </w:pPr>
      <w:r>
        <w:rPr>
          <w:noProof w:val="0"/>
        </w:rPr>
        <w:t>(2^1) prevedrile alin. (2)  se aplică și deșeurilor și reziduurilor care sunt prelucrate mai întâi într-un produs înainte de a fi prelucrate ulterior în biocombustibili, biolichide și combustibili din biomasă.</w:t>
      </w:r>
    </w:p>
    <w:p w14:paraId="537233A2" w14:textId="7CCEDCFC" w:rsidR="00F72B0B" w:rsidRDefault="00F72B0B" w:rsidP="00ED18D4">
      <w:pPr>
        <w:pStyle w:val="Heading5"/>
      </w:pPr>
      <w:r>
        <w:t>- La art. 29 alin. (4) se modifică și va avea următorul cuprins:</w:t>
      </w:r>
    </w:p>
    <w:p w14:paraId="5F33AE48" w14:textId="77777777" w:rsidR="00F72B0B" w:rsidRDefault="00F72B0B" w:rsidP="00ED18D4">
      <w:pPr>
        <w:rPr>
          <w:noProof w:val="0"/>
        </w:rPr>
      </w:pPr>
      <w:r>
        <w:rPr>
          <w:noProof w:val="0"/>
        </w:rPr>
        <w:t xml:space="preserve">(4) Combustibilii din biomasă trebuie să îndeplinească criteriile de durabilitate și de reducere a emisiilor de gaze cu efect de seră stabilite la alin. (2)-(15) dacă sunt folosiți: </w:t>
      </w:r>
    </w:p>
    <w:p w14:paraId="5CB1F797" w14:textId="77777777" w:rsidR="00F72B0B" w:rsidRDefault="00F72B0B" w:rsidP="00ED18D4">
      <w:pPr>
        <w:rPr>
          <w:noProof w:val="0"/>
        </w:rPr>
      </w:pPr>
      <w:r>
        <w:rPr>
          <w:noProof w:val="0"/>
        </w:rPr>
        <w:t xml:space="preserve">a) în cazul combustibililor din biomasă solizi, în instalații care produc energie electrică, încălzire și răcire cu o putere termică instalată totală mai mare sau egală cu 7,5 MW; </w:t>
      </w:r>
    </w:p>
    <w:p w14:paraId="32744A3A" w14:textId="77777777" w:rsidR="00F72B0B" w:rsidRDefault="00F72B0B" w:rsidP="00ED18D4">
      <w:pPr>
        <w:rPr>
          <w:noProof w:val="0"/>
        </w:rPr>
      </w:pPr>
      <w:r>
        <w:rPr>
          <w:noProof w:val="0"/>
        </w:rPr>
        <w:t>b) în cazul combustibililor din biomasă gazoși, în instalații care produc energie electrică, încălzire și răcire cu o putere termică instalată totală mai mare sau egală cu 2 MW;</w:t>
      </w:r>
    </w:p>
    <w:p w14:paraId="32505BE7" w14:textId="77777777" w:rsidR="00F72B0B" w:rsidRDefault="00F72B0B" w:rsidP="00ED18D4">
      <w:pPr>
        <w:rPr>
          <w:noProof w:val="0"/>
        </w:rPr>
      </w:pPr>
      <w:r>
        <w:rPr>
          <w:noProof w:val="0"/>
        </w:rPr>
        <w:t xml:space="preserve">c) în cazul instalațiilor care produc combustibili din biomasă gazoși cu următorul debit mediu al biometanului: </w:t>
      </w:r>
    </w:p>
    <w:p w14:paraId="4FE275AC" w14:textId="77777777" w:rsidR="00F72B0B" w:rsidRDefault="00F72B0B" w:rsidP="00ED18D4">
      <w:pPr>
        <w:ind w:left="836"/>
        <w:rPr>
          <w:noProof w:val="0"/>
        </w:rPr>
      </w:pPr>
      <w:r>
        <w:rPr>
          <w:noProof w:val="0"/>
        </w:rPr>
        <w:lastRenderedPageBreak/>
        <w:t xml:space="preserve">(i) peste 200 m3 echivalent metan/h, măsurat în condiții standard de temperatură și presiune, adică 0°C și o presiune atmosferică de 1 bar; </w:t>
      </w:r>
    </w:p>
    <w:p w14:paraId="3DC92FA3" w14:textId="77777777" w:rsidR="00F72B0B" w:rsidRDefault="00F72B0B" w:rsidP="00ED18D4">
      <w:pPr>
        <w:ind w:left="836"/>
        <w:rPr>
          <w:noProof w:val="0"/>
        </w:rPr>
      </w:pPr>
      <w:r>
        <w:rPr>
          <w:noProof w:val="0"/>
        </w:rPr>
        <w:t xml:space="preserve">(ii) dacă biogazul este compus dintr-un amestec de metan și alte gaze incombustibile, pentru debitul metanului, pragul stabilit la punctul (i), recalculat proporțional cu ponderea volumetrică a metanului în amestec. </w:t>
      </w:r>
    </w:p>
    <w:p w14:paraId="6A35461F" w14:textId="15F097BD" w:rsidR="00F72B0B" w:rsidRDefault="00F72B0B" w:rsidP="00ED18D4">
      <w:pPr>
        <w:pStyle w:val="Heading5"/>
      </w:pPr>
      <w:r>
        <w:t>- La art. 29 după alin. (4) se introduce un nou alin. (4^1) cu următorul cuprins:</w:t>
      </w:r>
    </w:p>
    <w:p w14:paraId="18CFFF29" w14:textId="77777777" w:rsidR="00F72B0B" w:rsidRDefault="00F72B0B" w:rsidP="00ED18D4">
      <w:pPr>
        <w:rPr>
          <w:noProof w:val="0"/>
        </w:rPr>
      </w:pPr>
      <w:r>
        <w:rPr>
          <w:noProof w:val="0"/>
        </w:rPr>
        <w:t>(4^1) Criteriile de durabilitate și de reducere a emisiilor de gaze cu efect de seră stabilite la alin. (2)-(15) în cazul instalațiilor cu o putere termică instalată totală mai mică sau cu un debit al biometanului mai mic.</w:t>
      </w:r>
    </w:p>
    <w:p w14:paraId="7E7C90F2" w14:textId="0693B360" w:rsidR="00F72B0B" w:rsidRDefault="00F72B0B" w:rsidP="00ED18D4">
      <w:pPr>
        <w:pStyle w:val="Heading5"/>
      </w:pPr>
      <w:r>
        <w:t>- La art. 29  alin. (7) se modifică și va avea următorul cuprins:</w:t>
      </w:r>
    </w:p>
    <w:p w14:paraId="0BD197F1" w14:textId="77777777" w:rsidR="00F72B0B" w:rsidRDefault="00F72B0B" w:rsidP="00ED18D4">
      <w:pPr>
        <w:rPr>
          <w:noProof w:val="0"/>
        </w:rPr>
      </w:pPr>
      <w:r>
        <w:rPr>
          <w:noProof w:val="0"/>
        </w:rPr>
        <w:t xml:space="preserve">(7) Biocombustibilii, biolichidele și combustibilii din biomasă produși din biomasă agricolă care sunt luați în considerare în scopurile menționate la alineatul (1) literele a), b) și c) nu se obțin din materii prime ce provin de pe terenuri bogate în biodiversitate, și anume de pe terenuri care până la 31 ianuarie 2008 sau după această dată dețineau unul din următoarele statute, indiferent dacă terenul mai deține acest statut: </w:t>
      </w:r>
    </w:p>
    <w:p w14:paraId="02BEAE21" w14:textId="77777777" w:rsidR="00F72B0B" w:rsidRDefault="00F72B0B" w:rsidP="00ED18D4">
      <w:pPr>
        <w:rPr>
          <w:noProof w:val="0"/>
        </w:rPr>
      </w:pPr>
      <w:r>
        <w:rPr>
          <w:noProof w:val="0"/>
        </w:rPr>
        <w:t>a) păduri primare și alte terenuri împădurite, și anume pădurile și alte terenuri împădurite cu specii indigene, în care nu există indicii vizibile clare ale activității umane, iar procesele ecologice nu sunt afectate în mod semnificativ încadrate în tipul I funcțional potrivit amenajamentelor silvice; și păduri seculare, astfel cum sunt definite în țara în care se află pădurea.</w:t>
      </w:r>
    </w:p>
    <w:p w14:paraId="682AD697" w14:textId="77777777" w:rsidR="00F72B0B" w:rsidRDefault="00F72B0B" w:rsidP="00ED18D4">
      <w:pPr>
        <w:rPr>
          <w:noProof w:val="0"/>
        </w:rPr>
      </w:pPr>
      <w:r>
        <w:rPr>
          <w:noProof w:val="0"/>
        </w:rPr>
        <w:t xml:space="preserve">b) păduri foarte bogate în biodiversitate și alte terenuri împădurite care conțin o mare diversitate de specii, sunt nedegradate și au fost identificate ca fiind bogate în biodiversitate de MMAP potrivit planurilor de management ale siturilor Natura 2000 și amenajamentelor silvice, exceptând cazul în care se furnizează dovezi conform cărora producția respectivei materii prime nu a adus atingere scopurilor de ocrotire a naturii; </w:t>
      </w:r>
    </w:p>
    <w:p w14:paraId="4E775E4F" w14:textId="77777777" w:rsidR="00F72B0B" w:rsidRDefault="00F72B0B" w:rsidP="00ED18D4">
      <w:pPr>
        <w:rPr>
          <w:noProof w:val="0"/>
        </w:rPr>
      </w:pPr>
      <w:r>
        <w:rPr>
          <w:noProof w:val="0"/>
        </w:rPr>
        <w:t xml:space="preserve">c) zone desemnate: </w:t>
      </w:r>
    </w:p>
    <w:p w14:paraId="5469EC6B" w14:textId="77777777" w:rsidR="00F72B0B" w:rsidRDefault="00F72B0B" w:rsidP="00ED18D4">
      <w:pPr>
        <w:ind w:left="836"/>
        <w:rPr>
          <w:noProof w:val="0"/>
        </w:rPr>
      </w:pPr>
      <w:r>
        <w:rPr>
          <w:noProof w:val="0"/>
        </w:rPr>
        <w:t xml:space="preserve">(i) prin lege sau de autoritățile competente relevante ca zone de protecție a naturii, exceptând cazul în care se furnizează dovezi conform cărora producția respectivei materii prime nu a adus atingere scopurilor de ocrotire a naturii; </w:t>
      </w:r>
    </w:p>
    <w:p w14:paraId="7E9F980A" w14:textId="77777777" w:rsidR="00F72B0B" w:rsidRDefault="00F72B0B" w:rsidP="00ED18D4">
      <w:pPr>
        <w:ind w:left="836"/>
        <w:rPr>
          <w:noProof w:val="0"/>
        </w:rPr>
      </w:pPr>
      <w:r>
        <w:rPr>
          <w:noProof w:val="0"/>
        </w:rPr>
        <w:t xml:space="preserve">sau </w:t>
      </w:r>
    </w:p>
    <w:p w14:paraId="4B98A94C" w14:textId="77777777" w:rsidR="00F72B0B" w:rsidRDefault="00F72B0B" w:rsidP="00ED18D4">
      <w:pPr>
        <w:ind w:left="836"/>
        <w:rPr>
          <w:noProof w:val="0"/>
        </w:rPr>
      </w:pPr>
      <w:r>
        <w:rPr>
          <w:noProof w:val="0"/>
        </w:rPr>
        <w:t xml:space="preserve">(ii) ca zone protejate în scopuri de protecție a ecosistemelor sau a speciilor rare, amenințate sau pe cale de dispariție, care sunt recunoscute prin acorduri internaționale sau incluse pe  pe listele elaborate de organizații interguvernamentale sau de Uniunea Internațională pentru Conservarea Naturii, sub rezerva recunoașterii lor în conformitate exceptând cazul în care se furnizează dovezi conform cărora producția respectivei materii prime nu a adus atingere scopurilor de ocrotire a naturii; </w:t>
      </w:r>
    </w:p>
    <w:p w14:paraId="3AA3B794" w14:textId="77777777" w:rsidR="00F72B0B" w:rsidRDefault="00F72B0B" w:rsidP="00ED18D4">
      <w:pPr>
        <w:rPr>
          <w:noProof w:val="0"/>
        </w:rPr>
      </w:pPr>
      <w:r>
        <w:rPr>
          <w:noProof w:val="0"/>
        </w:rPr>
        <w:t xml:space="preserve"> (d) pășuni foarte bogate în biodiversitate cu suprafața mai mare de un hectar care sunt: </w:t>
      </w:r>
    </w:p>
    <w:p w14:paraId="35C682FB" w14:textId="77777777" w:rsidR="00F72B0B" w:rsidRDefault="00F72B0B" w:rsidP="00ED18D4">
      <w:pPr>
        <w:ind w:left="836"/>
        <w:rPr>
          <w:noProof w:val="0"/>
        </w:rPr>
      </w:pPr>
      <w:r>
        <w:rPr>
          <w:noProof w:val="0"/>
        </w:rPr>
        <w:t xml:space="preserve">(i) pășuni naturale, și anume pășuni care ar continua să fie pășuni fără intervenția omului și care mențin configurația naturală de specii, precum și caracteristicile și procesele ecologice; </w:t>
      </w:r>
    </w:p>
    <w:p w14:paraId="1B9BA556" w14:textId="77777777" w:rsidR="00F72B0B" w:rsidRDefault="00F72B0B" w:rsidP="00ED18D4">
      <w:pPr>
        <w:ind w:left="836"/>
        <w:rPr>
          <w:noProof w:val="0"/>
        </w:rPr>
      </w:pPr>
      <w:r>
        <w:rPr>
          <w:noProof w:val="0"/>
        </w:rPr>
        <w:lastRenderedPageBreak/>
        <w:t xml:space="preserve">sau </w:t>
      </w:r>
    </w:p>
    <w:p w14:paraId="3D229907" w14:textId="77777777" w:rsidR="00F72B0B" w:rsidRDefault="00F72B0B" w:rsidP="00ED18D4">
      <w:pPr>
        <w:ind w:left="836"/>
        <w:rPr>
          <w:noProof w:val="0"/>
        </w:rPr>
      </w:pPr>
      <w:r>
        <w:rPr>
          <w:noProof w:val="0"/>
        </w:rPr>
        <w:t xml:space="preserve">(ii) pășuni care nu sunt naturale, și anume pășuni care ar înceta să fie pășuni fără intervenția omului și care conțin o mare diversitate de specii și sunt nedegradate și pe MMAP le-a identificat ca fiind foarte bogate în biodiversitate, exceptând cazul în care se furnizează dovezi conform cărora recoltarea materiei prime este necesară pentru a-și menține statutul de pășuni foarte bogate în biodiversitate; sau </w:t>
      </w:r>
    </w:p>
    <w:p w14:paraId="735571A3" w14:textId="20973477" w:rsidR="00F72B0B" w:rsidRDefault="00F72B0B" w:rsidP="00ED18D4">
      <w:pPr>
        <w:pStyle w:val="Heading5"/>
      </w:pPr>
      <w:r>
        <w:t>- La art. 29  după alin. (7) se introduce un nou alin. (7^1) cu următorul cuprins:</w:t>
      </w:r>
    </w:p>
    <w:p w14:paraId="2FF58116" w14:textId="77777777" w:rsidR="00F72B0B" w:rsidRDefault="00F72B0B" w:rsidP="00ED18D4">
      <w:pPr>
        <w:rPr>
          <w:noProof w:val="0"/>
        </w:rPr>
      </w:pPr>
      <w:r>
        <w:rPr>
          <w:noProof w:val="0"/>
        </w:rPr>
        <w:t>(7^1) Dacă nu sunt îndeplinite condițiile stabilite la alin. (11) lit. a) pct. (vi) și (vii), prevederile alin. (7) cu excepția literei (c) se aplică și biocombustibililor, biolichidelor și combustibililor din biomasă produși din biomasă forestieră.</w:t>
      </w:r>
    </w:p>
    <w:p w14:paraId="78660108" w14:textId="26D7217D" w:rsidR="00F72B0B" w:rsidRDefault="00F72B0B" w:rsidP="00ED18D4">
      <w:pPr>
        <w:pStyle w:val="Heading5"/>
      </w:pPr>
      <w:r>
        <w:t>- La art. 29 după alin. 8 se introduce un nou alin. (8^1) cu următorul cuprins:</w:t>
      </w:r>
    </w:p>
    <w:p w14:paraId="7C427A27" w14:textId="77777777" w:rsidR="00F72B0B" w:rsidRDefault="00F72B0B" w:rsidP="00ED18D4">
      <w:pPr>
        <w:rPr>
          <w:noProof w:val="0"/>
        </w:rPr>
      </w:pPr>
      <w:r>
        <w:rPr>
          <w:noProof w:val="0"/>
        </w:rPr>
        <w:t>(8^1) Dacă nu sunt îndeplinite condițiile prevăzute la alin. (11) lit. a) pct. (vi) și (vii), prevederile alin. 8 cu excepția literelor b) și c) și prevederile alin. (9) se aplică, de asemenea, biocombustibililor, biolichidelor și combustibililor din biomasă produși din biomasă forestieră.</w:t>
      </w:r>
    </w:p>
    <w:p w14:paraId="1D5519E3" w14:textId="78DD141B" w:rsidR="00F72B0B" w:rsidRDefault="00ED18D4" w:rsidP="00ED18D4">
      <w:pPr>
        <w:pStyle w:val="Heading5"/>
      </w:pPr>
      <w:r>
        <w:t xml:space="preserve">- </w:t>
      </w:r>
      <w:r w:rsidR="00F72B0B">
        <w:t>La art. 29 alin. (10) se modifică și va avea următorul cuprins:</w:t>
      </w:r>
    </w:p>
    <w:p w14:paraId="64CEECB5" w14:textId="77777777" w:rsidR="00F72B0B" w:rsidRDefault="00F72B0B" w:rsidP="00ED18D4">
      <w:pPr>
        <w:rPr>
          <w:noProof w:val="0"/>
        </w:rPr>
      </w:pPr>
      <w:r>
        <w:rPr>
          <w:noProof w:val="0"/>
        </w:rPr>
        <w:t xml:space="preserve">(10) Biocombustibilii, biolichidele și combustibilii din biomasă produși din biomasă agricolă care sunt luați în considerare în scopurile menționate la alin. (1) lit. a), b) și c) nu sunt obținuți din materii prime ce provin de pe terenuri care până la 31 ianuarie 2008 erau turbării, exceptând cazul în care se furnizează dovezi conform cărora cultivarea și recoltarea materiilor prime în cauză nu implică asanarea unor porțiuni de sol care nu erau asanate anterior; dacă nu sunt îndeplinite condițiile stabilite la alin. (11) lit. a) pct. (vi) și (vii), se aplică și pentru biocombustibililor, biolichidelor și combustibililor din biomasă produși din biomasă forestieră. </w:t>
      </w:r>
    </w:p>
    <w:p w14:paraId="715BD463" w14:textId="2EBEC0DA" w:rsidR="00F72B0B" w:rsidRDefault="00ED18D4" w:rsidP="00ED18D4">
      <w:pPr>
        <w:pStyle w:val="Heading5"/>
      </w:pPr>
      <w:r>
        <w:t xml:space="preserve">- </w:t>
      </w:r>
      <w:r w:rsidR="00F72B0B">
        <w:t>La art. 29 alin. (11) lit. a) pct. (iii) și (iv) se modifică și vor avea următorul cuprins:</w:t>
      </w:r>
    </w:p>
    <w:p w14:paraId="6AEFC4BC" w14:textId="77777777" w:rsidR="00F72B0B" w:rsidRDefault="00F72B0B" w:rsidP="00ED18D4">
      <w:pPr>
        <w:ind w:left="598"/>
        <w:rPr>
          <w:noProof w:val="0"/>
        </w:rPr>
      </w:pPr>
      <w:r>
        <w:rPr>
          <w:noProof w:val="0"/>
        </w:rPr>
        <w:t>(iii) că zonele desemnate prin dreptul internațional sau intern sau de către autoritatea competentă relevantă în scopuri de protecție a naturii, inclusiv în zone umede, pajiști și turbării, sunt ocrotite cu scopul de a păstra biodiversitatea și a împiedica distrugerea habitatelor;</w:t>
      </w:r>
    </w:p>
    <w:p w14:paraId="0B5B5A5C" w14:textId="77777777" w:rsidR="00F72B0B" w:rsidRDefault="00F72B0B" w:rsidP="00ED18D4">
      <w:pPr>
        <w:ind w:left="598"/>
        <w:rPr>
          <w:noProof w:val="0"/>
        </w:rPr>
      </w:pPr>
      <w:r>
        <w:rPr>
          <w:noProof w:val="0"/>
        </w:rPr>
        <w:t>(iv) că recoltarea se desfășoară potrivit amenajamentelor silvice ținându-se seama de menținerea calității solului și a biodiversității în conformitate cu principiile gospodăririi sustenabile a pădurilor, în scopul prevenirii oricăror efecte negative, astfel încât să se evite recoltarea buturugilor și a rădăcinilor, degradarea pădurilor primare și seculare, conform definiției în legislația națională unde este situată pădurea sau transformarea acestora în plantații forestiere, precum și recoltarea pe soluri vulnerabile, că recoltarea se desfășoară cu respectarea pragurilor maxime pentru tăieri la ras pe suprafețe mari definite în țara în care este situată pădurea și cu pragurile de retenție potrivite cu situația ecologică locală pentru extracția lemnului mort și că exploatarea se desfășoară cu respectarea cerințelor de utilizare a unor sisteme de exploatare forestieră care să reducă la minimum orice impact negativ asupra calității solului, inclusiv tasarea solului, precum și asupra caracteristicilor biodiversității și a habitatelor;</w:t>
      </w:r>
    </w:p>
    <w:p w14:paraId="4AA62ADA" w14:textId="1D3958A5" w:rsidR="00F72B0B" w:rsidRDefault="00F72B0B" w:rsidP="00ED18D4">
      <w:pPr>
        <w:pStyle w:val="Heading5"/>
      </w:pPr>
      <w:r>
        <w:lastRenderedPageBreak/>
        <w:t>La art. 29 alin. (11) lit. a) după pct. (v) se adaugă două noi pct. (vi) și (vii) cu următorul cuprins:</w:t>
      </w:r>
    </w:p>
    <w:p w14:paraId="63C6C635" w14:textId="77777777" w:rsidR="00F72B0B" w:rsidRDefault="00F72B0B" w:rsidP="00ED18D4">
      <w:pPr>
        <w:ind w:left="598"/>
        <w:rPr>
          <w:noProof w:val="0"/>
        </w:rPr>
      </w:pPr>
      <w:r>
        <w:rPr>
          <w:noProof w:val="0"/>
        </w:rPr>
        <w:t>(vi) că pădurile din care se recoltează biomasa forestieră nu provin de pe terenurile care au statutele menționate la alin. (7) lit. a), b), d) și e), la alin. (8) lit. (a) și, respectiv, la alin. (10), în aceleași condiții de stabilire a statutului terenurilor menționate la alineatele respective; și</w:t>
      </w:r>
    </w:p>
    <w:p w14:paraId="5BAED75D" w14:textId="77777777" w:rsidR="00F72B0B" w:rsidRDefault="00F72B0B" w:rsidP="00ED18D4">
      <w:pPr>
        <w:ind w:left="598"/>
        <w:rPr>
          <w:noProof w:val="0"/>
        </w:rPr>
      </w:pPr>
      <w:r>
        <w:rPr>
          <w:noProof w:val="0"/>
        </w:rPr>
        <w:t>(vii) că instalațiile care produc biocombustibili, biolichide și combustibili din biomasă forestieră publică o declarație de asigurare, susținută de procese interne la nivel de întreprindere, în scopul auditurilor efectuate în temeiul art. 30 alin. (4)-(9), că biomasa forestieră nu provine de pe terenurile menționate la pct (vi).</w:t>
      </w:r>
    </w:p>
    <w:p w14:paraId="5D88EB24" w14:textId="786D8E14" w:rsidR="00F72B0B" w:rsidRDefault="00F72B0B" w:rsidP="00ED18D4">
      <w:pPr>
        <w:pStyle w:val="Heading5"/>
      </w:pPr>
      <w:r>
        <w:t>La art. 29 alin. (11) lit. b) pct. (iii) și (iv) se modifică și vor avea următorul cuprins:</w:t>
      </w:r>
    </w:p>
    <w:p w14:paraId="68B1B48B" w14:textId="77777777" w:rsidR="00F72B0B" w:rsidRDefault="00F72B0B" w:rsidP="00ED18D4">
      <w:pPr>
        <w:rPr>
          <w:noProof w:val="0"/>
        </w:rPr>
      </w:pPr>
      <w:r>
        <w:rPr>
          <w:noProof w:val="0"/>
        </w:rPr>
        <w:t>(iii) protejarea zonelor desemnate prin dreptul internațional sau intern sau de către autoritatea competentă relevantă ca zone protejate în scopuri de protecție a naturii, inclusiv în zone umede, pășuni și turbării, cu scopul de a păstra biodiversitatea și a împiedica distrugerea habitatelor, exceptând cazul în care se furnizează dovezi conform cărora recoltarea materiilor prime în cauză nu aduc atingere scopurilor de protecție a naturii;</w:t>
      </w:r>
    </w:p>
    <w:p w14:paraId="04682AFE" w14:textId="77777777" w:rsidR="00F72B0B" w:rsidRDefault="00F72B0B" w:rsidP="00ED18D4">
      <w:pPr>
        <w:rPr>
          <w:noProof w:val="0"/>
        </w:rPr>
      </w:pPr>
      <w:r>
        <w:rPr>
          <w:noProof w:val="0"/>
        </w:rPr>
        <w:t>(iv) că recoltarea se desfășoară ținându-se seama de menținerea calității solului și de biodiversitate, în concordanță cu principiile gospodăririi sustenabile a pădurilor, cu scopul prevenirii oricărui impact negativ, astfel încât să se evite recoltarea buturugilor și a rădăcinilor, degradarea pădurilor primare și seculare, potrivit definiției din țara unde este situată pădurea sau transformarea acestora în plantații forestiere, precum și recoltarea pe soluri vulnerabile; că recoltarea se desfășoară cu respectarea pragurilor maxime pentru tăieri la ras pe suprafețe definită în conformitate cu legislația națională în care este situată pădurea și cu pragurile de retenție potrivite cu situația ecologică locală pentru extracția lemnului mort și că recoltarea se desfășoară cu respectarea cerințelor de utilizare a unor sisteme de exploatare forestieră care să reducă la minimum orice impact negativ asupra calității solului, inclusiv tasarea solului, precum și asupra caracteristicilor biodiversității și a habitatelor; și;</w:t>
      </w:r>
    </w:p>
    <w:p w14:paraId="2B45F45E" w14:textId="35175591" w:rsidR="00F72B0B" w:rsidRDefault="00F72B0B" w:rsidP="00ED18D4">
      <w:pPr>
        <w:pStyle w:val="Heading5"/>
      </w:pPr>
      <w:r>
        <w:t>La art. 29 după alin. (11) se introduc trei noi alin. (11^1)-(11^3) cu următorul cuprins:</w:t>
      </w:r>
    </w:p>
    <w:p w14:paraId="35BC866D" w14:textId="77777777" w:rsidR="00F72B0B" w:rsidRDefault="00F72B0B" w:rsidP="00ED18D4">
      <w:pPr>
        <w:rPr>
          <w:noProof w:val="0"/>
        </w:rPr>
      </w:pPr>
      <w:r>
        <w:rPr>
          <w:noProof w:val="0"/>
        </w:rPr>
        <w:t>(11^1) Producția de biocombustibili, biolichide și combustibili din biomasă forestieră internă respectă prevederile stabilite la art. 4 din Regulamentul (UE) 2018/841 al Parlamentului European și al Consiliului, și este în concordanță cu politicile și măsurile stabilite în actualizarea PNIESC.</w:t>
      </w:r>
    </w:p>
    <w:p w14:paraId="1C7DD9FE" w14:textId="77777777" w:rsidR="00F72B0B" w:rsidRDefault="00F72B0B" w:rsidP="00ED18D4">
      <w:pPr>
        <w:rPr>
          <w:noProof w:val="0"/>
        </w:rPr>
      </w:pPr>
      <w:r>
        <w:rPr>
          <w:noProof w:val="0"/>
        </w:rPr>
        <w:t xml:space="preserve">(11^2) În actualizarea PNIESC se includ elementele următoare: </w:t>
      </w:r>
    </w:p>
    <w:p w14:paraId="2320A94F" w14:textId="77777777" w:rsidR="00F72B0B" w:rsidRDefault="00F72B0B" w:rsidP="00ED18D4">
      <w:pPr>
        <w:rPr>
          <w:noProof w:val="0"/>
        </w:rPr>
      </w:pPr>
      <w:r>
        <w:rPr>
          <w:noProof w:val="0"/>
        </w:rPr>
        <w:t xml:space="preserve">a) o evaluare a aprovizionării cu biomasă forestieră disponibilă în scopuri energetice în perioada 2021-2030, în conformitate cu criteriile prevăzute la prezentul articol; </w:t>
      </w:r>
    </w:p>
    <w:p w14:paraId="370C12D7" w14:textId="77777777" w:rsidR="00F72B0B" w:rsidRDefault="00F72B0B" w:rsidP="00ED18D4">
      <w:pPr>
        <w:rPr>
          <w:noProof w:val="0"/>
        </w:rPr>
      </w:pPr>
      <w:r>
        <w:rPr>
          <w:noProof w:val="0"/>
        </w:rPr>
        <w:t>b) o evaluare a compatibilității utilizării preconizate a biomasei forestiere pentru producerea de energie cu țintele și bugetele aferente acestora pentru perioada 2026-2030;</w:t>
      </w:r>
    </w:p>
    <w:p w14:paraId="653BA575" w14:textId="77777777" w:rsidR="00F72B0B" w:rsidRDefault="00F72B0B" w:rsidP="00ED18D4">
      <w:pPr>
        <w:rPr>
          <w:noProof w:val="0"/>
        </w:rPr>
      </w:pPr>
      <w:r>
        <w:rPr>
          <w:noProof w:val="0"/>
        </w:rPr>
        <w:t xml:space="preserve">c) o descriere a măsurilor și politicilor care asigură compatibilitatea cu țintele și bugetele aferente acestora. </w:t>
      </w:r>
    </w:p>
    <w:p w14:paraId="3C477429" w14:textId="77777777" w:rsidR="00F72B0B" w:rsidRDefault="00F72B0B" w:rsidP="00ED18D4">
      <w:pPr>
        <w:rPr>
          <w:noProof w:val="0"/>
        </w:rPr>
      </w:pPr>
      <w:r>
        <w:rPr>
          <w:noProof w:val="0"/>
        </w:rPr>
        <w:lastRenderedPageBreak/>
        <w:t xml:space="preserve">(11^3) În cadrul rapoartelor naționale intermediare integrate privind energia și clima se includ măsurile și politicile prevăzute la alin. (11^2) lit. (c). </w:t>
      </w:r>
    </w:p>
    <w:p w14:paraId="1C403000" w14:textId="283EB431" w:rsidR="00F72B0B" w:rsidRDefault="00F72B0B" w:rsidP="00ED18D4">
      <w:pPr>
        <w:pStyle w:val="Heading5"/>
      </w:pPr>
      <w:r>
        <w:t>La art. 29 la alin. (13) se modifică lit. d) și va avea următorul cuprins:</w:t>
      </w:r>
    </w:p>
    <w:p w14:paraId="32C7D522" w14:textId="77777777" w:rsidR="00F72B0B" w:rsidRDefault="00F72B0B" w:rsidP="00ED18D4">
      <w:pPr>
        <w:rPr>
          <w:noProof w:val="0"/>
        </w:rPr>
      </w:pPr>
      <w:r>
        <w:rPr>
          <w:noProof w:val="0"/>
        </w:rPr>
        <w:t>d) de cel puțin 80 % pentru producția de energie electrică, încălzire și răcire pe bază de combustibili din biomasă utilizați în instalații care au intrat în funcțiune după 20 noiembrie 2023;</w:t>
      </w:r>
    </w:p>
    <w:p w14:paraId="37483D2A" w14:textId="20639821" w:rsidR="00F72B0B" w:rsidRDefault="00F72B0B" w:rsidP="00ED18D4">
      <w:pPr>
        <w:pStyle w:val="Heading5"/>
      </w:pPr>
      <w:r>
        <w:t>La art. 29 după alin. (13) lit. d) se introduc patru noi litere e)-h_cu următorul cuprins:</w:t>
      </w:r>
    </w:p>
    <w:p w14:paraId="695F367E" w14:textId="77777777" w:rsidR="00F72B0B" w:rsidRDefault="00F72B0B" w:rsidP="00ED18D4">
      <w:pPr>
        <w:rPr>
          <w:noProof w:val="0"/>
        </w:rPr>
      </w:pPr>
    </w:p>
    <w:p w14:paraId="04BA6F7F" w14:textId="77777777" w:rsidR="00F72B0B" w:rsidRDefault="00F72B0B" w:rsidP="00ED18D4">
      <w:pPr>
        <w:rPr>
          <w:noProof w:val="0"/>
        </w:rPr>
      </w:pPr>
      <w:r>
        <w:rPr>
          <w:noProof w:val="0"/>
        </w:rPr>
        <w:t>e) de cel puțin 70 % pentru producția de energie electrică, încălzire și răcire pe bază de combustibili din biomasă utilizați în instalații cu o putere termică instalată totală mai mare sau egală cu 10 MW care au intrat în funcțiune între 1 ianuarie 2021și 20 noiembrie 2023;</w:t>
      </w:r>
    </w:p>
    <w:p w14:paraId="7F5407F1" w14:textId="77777777" w:rsidR="00F72B0B" w:rsidRDefault="00F72B0B" w:rsidP="00ED18D4">
      <w:pPr>
        <w:rPr>
          <w:noProof w:val="0"/>
        </w:rPr>
      </w:pPr>
      <w:r>
        <w:rPr>
          <w:noProof w:val="0"/>
        </w:rPr>
        <w:t>f) de cel puțin 80 % pentru producția de energie electrică, încălzire și răcire pe bază de combustibili din biomasă utilizați în instalații cu o putere termică instalată totală mai mare sau egală cu 10 MW care vor intra în funcțiune începând cu 1 ianuarie 2030;</w:t>
      </w:r>
    </w:p>
    <w:p w14:paraId="55C19A37" w14:textId="77777777" w:rsidR="00F72B0B" w:rsidRDefault="00F72B0B" w:rsidP="00ED18D4">
      <w:pPr>
        <w:rPr>
          <w:noProof w:val="0"/>
        </w:rPr>
      </w:pPr>
      <w:r>
        <w:rPr>
          <w:noProof w:val="0"/>
        </w:rPr>
        <w:t>g) de cel puțin 70 % pentru producția de energie electrică, încălzire și răcire pe bază de combustibili gazoși din biomasă utilizați în instalații cu o putere termică instalată totală mai mică sau egală cu 10 MW care au intrat în funcțiune între 1 ianuarie 2021și 20 noiembrie 2023, până când vor fi funcționat de 15 ani și cel puțin 80 % după 15 ani de funcționare;</w:t>
      </w:r>
    </w:p>
    <w:p w14:paraId="7F461EF2" w14:textId="77777777" w:rsidR="00F72B0B" w:rsidRDefault="00F72B0B" w:rsidP="00ED18D4">
      <w:pPr>
        <w:rPr>
          <w:noProof w:val="0"/>
        </w:rPr>
      </w:pPr>
      <w:r>
        <w:rPr>
          <w:noProof w:val="0"/>
        </w:rPr>
        <w:t>h) de el puțin 80 % după 15 ani de funcționare pentru producția de energie electrică, încălzire și răcire pe bază de combustibili din biomasă utilizați în instalații cu o putere termică instalată totală mai mare sau egală cu 10 MW care au intrat în funcțiune înainte de 1 ianuarie 2021, cel mai devreme de la 1 ianuarie 2026 și cel mai târziu de la 31 decembrie 2029;</w:t>
      </w:r>
    </w:p>
    <w:p w14:paraId="401E2A7E" w14:textId="77777777" w:rsidR="00F72B0B" w:rsidRDefault="00F72B0B" w:rsidP="00ED18D4">
      <w:pPr>
        <w:rPr>
          <w:noProof w:val="0"/>
        </w:rPr>
      </w:pPr>
      <w:r>
        <w:rPr>
          <w:noProof w:val="0"/>
        </w:rPr>
        <w:t>i) de cel puțin 80 % după 15 ani de funcționare pentru producția de energie electrică, încălzire și răcire pe bază de combustibili gazoși din biomasă utilizați în instalații cu o putere termică instalată totală mai mică sau egală cu 10 MW care au intrat în funcțiune înainte de 1 ianuarie 2021, și cel mai devreme de la 1 ianuarie 2026.</w:t>
      </w:r>
    </w:p>
    <w:p w14:paraId="1C5DD5E2" w14:textId="5E145D47" w:rsidR="00F72B0B" w:rsidRDefault="00F72B0B" w:rsidP="00ED18D4">
      <w:pPr>
        <w:pStyle w:val="Heading5"/>
      </w:pPr>
      <w:r>
        <w:t>La art. 29 după alin. (20) se introduce un nou alin (21) cu următorul cuprins:</w:t>
      </w:r>
    </w:p>
    <w:p w14:paraId="56E30F33" w14:textId="61AEDAEA" w:rsidR="00F72B0B" w:rsidRDefault="00ED18D4" w:rsidP="00ED18D4">
      <w:pPr>
        <w:rPr>
          <w:noProof w:val="0"/>
        </w:rPr>
      </w:pPr>
      <w:r>
        <w:rPr>
          <w:noProof w:val="0"/>
        </w:rPr>
        <w:t xml:space="preserve">(21) </w:t>
      </w:r>
      <w:r w:rsidR="00F72B0B">
        <w:rPr>
          <w:noProof w:val="0"/>
        </w:rPr>
        <w:t>Până la 31 decembrie 2030, energia produsă din biocombustibili, biolichide și combustibili din biomasă poate fi luată în considerare în scopurile menționate la alin. (1) lit. a), b) și c) în cazul în care:</w:t>
      </w:r>
    </w:p>
    <w:p w14:paraId="5FCAF809" w14:textId="77777777" w:rsidR="00F72B0B" w:rsidRDefault="00F72B0B" w:rsidP="00ED18D4">
      <w:pPr>
        <w:rPr>
          <w:noProof w:val="0"/>
        </w:rPr>
      </w:pPr>
      <w:r>
        <w:rPr>
          <w:noProof w:val="0"/>
        </w:rPr>
        <w:t>a) au fost acordate ajutoare înainte de 20 noiembrie 2023 în conformitate cu criteriile de sustenabilitate și de reducere a emisiilor de gaze cu efect de seră prevăzute la articolul 29 în versiunea care era în vigoare la 6 decembrie 2022; și</w:t>
      </w:r>
    </w:p>
    <w:p w14:paraId="089A4950" w14:textId="77777777" w:rsidR="00F72B0B" w:rsidRDefault="00F72B0B" w:rsidP="00ED18D4">
      <w:pPr>
        <w:rPr>
          <w:noProof w:val="0"/>
        </w:rPr>
      </w:pPr>
      <w:r>
        <w:rPr>
          <w:noProof w:val="0"/>
        </w:rPr>
        <w:t>b) ajutoarele au fost acordate sub forma unui sprijin pe termen lung pentru care s-a stabilit o sumă fixă la începutul perioadei de sprijin și cu condiția să existe un mecanism de corecție care să înlăture posibilitatea supracompensării.</w:t>
      </w:r>
    </w:p>
    <w:p w14:paraId="21FB45F3" w14:textId="54C68C26" w:rsidR="00F72B0B" w:rsidRDefault="00F72B0B" w:rsidP="00ED18D4">
      <w:pPr>
        <w:pStyle w:val="Heading5"/>
      </w:pPr>
      <w:r>
        <w:t>După art. 29 se introduce un nou art. 29^1 cu următorul cuprins:</w:t>
      </w:r>
    </w:p>
    <w:p w14:paraId="3FB7447C" w14:textId="77777777" w:rsidR="00F72B0B" w:rsidRDefault="00F72B0B" w:rsidP="00ED18D4">
      <w:pPr>
        <w:rPr>
          <w:noProof w:val="0"/>
        </w:rPr>
      </w:pPr>
      <w:r>
        <w:rPr>
          <w:noProof w:val="0"/>
        </w:rPr>
        <w:lastRenderedPageBreak/>
        <w:t>(1) Energia obținută din combustibili din surse regenerabile de origine nebiologică se ia în calcul în vederea atingerii ponderii energiei din surse regenerabile și a obiectivelor menționate art. 3 alin. (1) și (1^1,) art. (15^1) alin. (1) și (2), art. 22^1 alin. (1), art. 23 alin. (1) și alin. (2^1)-(2^8),  art. 24 alin. (4), (4^1) și (5^1) și art. 25 alin. (1)-(5), numai în cazul în care reducerile de emisii de gaze cu efect de seră obținute prin utilizarea combustibililor respectivi sunt de cel puțin 70 %.</w:t>
      </w:r>
    </w:p>
    <w:p w14:paraId="74CB0E47" w14:textId="77777777" w:rsidR="00F72B0B" w:rsidRDefault="00F72B0B" w:rsidP="00ED18D4">
      <w:pPr>
        <w:rPr>
          <w:noProof w:val="0"/>
        </w:rPr>
      </w:pPr>
      <w:r>
        <w:rPr>
          <w:noProof w:val="0"/>
        </w:rPr>
        <w:t>(2) Energia obținută din combustibili pe bază de carbon reciclat poate fi luată în calcul în vederea atingerii obiectivului de reducere a emisiilor de gaze cu efect de seră menționat la articolul 25 alin. (1)-(5) numai în cazul în care reducerile de emisii de gaze cu efect de seră obținute prin utilizarea combustibililor respectivi sunt de cel puțin 70 %.</w:t>
      </w:r>
    </w:p>
    <w:p w14:paraId="3EA8425E" w14:textId="2CEFB3B4" w:rsidR="00F72B0B" w:rsidRDefault="00F72B0B" w:rsidP="00ED18D4">
      <w:pPr>
        <w:rPr>
          <w:noProof w:val="0"/>
        </w:rPr>
      </w:pPr>
      <w:r>
        <w:rPr>
          <w:noProof w:val="0"/>
        </w:rPr>
        <w:t>(3) Comisia adoptă acte delegate în conformitate cu articolul 35 pentru a completa cadrul legel prin specificarea metodologiei de evaluare a reducerilor de emisii de gaze cu efect de seră generate de combustibilii din surse regenerabile de origine nebiologică și de combustibilii pe bază de carbon reciclat. Metodologia asigură faptul că nu se acordă credit pentru emisiile evitate pentru CO2 din surse fosile a primit deja un credit pentru emisiile captate în temeiul altor dispoziții de drept. Metodologia acoperă emisiile de gaze cu efect de seră pe durata ciclului de viață și ia în considerare emisiile indirecte rezultate din deturnarea unor factori de producție rigizi, ca deșeurile utilizate pentru producția de combustibili din carbon reciclat.</w:t>
      </w:r>
    </w:p>
    <w:p w14:paraId="6F077634" w14:textId="5A2A59B9" w:rsidR="00ED18D4" w:rsidRDefault="00ED18D4" w:rsidP="00ED18D4">
      <w:pPr>
        <w:pStyle w:val="Heading5"/>
      </w:pPr>
      <w:r>
        <w:t>La art. 30 se modifică alin. (1) și va avea următorul cuprins:</w:t>
      </w:r>
    </w:p>
    <w:p w14:paraId="0C4EA2CD" w14:textId="77777777" w:rsidR="00ED18D4" w:rsidRDefault="00ED18D4" w:rsidP="00ED18D4">
      <w:pPr>
        <w:spacing w:before="0" w:line="240" w:lineRule="auto"/>
        <w:ind w:left="0" w:firstLine="0"/>
        <w:rPr>
          <w:noProof w:val="0"/>
        </w:rPr>
      </w:pPr>
      <w:r>
        <w:rPr>
          <w:noProof w:val="0"/>
        </w:rPr>
        <w:t>(1) În cazul în care combustibilii din surse regenerabile și combustibilii pe bază de carbon reciclat sunt luați în calcul în vederea atingerii obiectivelor menționate art. 3 alin. (1) și (1^1,) art. (15^1) alin. (1) și (2), art. 22^1 alin. (1), art. 23 alin. (1) și alin. (2^1)-(2^8),  art. 24 alin. (4), (4^1) și (5^1) și art. 25 alin. (1)-(5), autoritățile competente impun operatorilor economici, prin intermediul unor audituri obligatorii, independente și transparente, în conformitate cu actul de punere în aplicare adoptat de către Comisie în temeiul alin. (8) din Directiva (UE) 2018/2001, să demonstreze că au fost îndeplinite criteriile de durabilitate și de reducere a emisiilor de gaze cu efect de seră prevăzute la art. 29 alin. (6)-(15) și la art. (29^1) alin. (1) și (2) pentru combustibili din surse regenerabile și combustibili pe bază de carbon reciclat. În acest scop, autoritățile competente impun operatorilor economici să utilizeze un sistem de echilibrare a masei care:</w:t>
      </w:r>
    </w:p>
    <w:p w14:paraId="3FC85A54" w14:textId="77777777" w:rsidR="00ED18D4" w:rsidRDefault="00ED18D4" w:rsidP="00ED18D4">
      <w:pPr>
        <w:spacing w:before="0" w:line="240" w:lineRule="auto"/>
        <w:ind w:left="0" w:firstLine="0"/>
        <w:rPr>
          <w:noProof w:val="0"/>
        </w:rPr>
      </w:pPr>
      <w:r>
        <w:rPr>
          <w:noProof w:val="0"/>
        </w:rPr>
        <w:t>a) permite ca loturile de materii prime sau de combustibili cu caracteristici diferite de durabilitate și de reducere a emisiilor de gaze cu efect de seră să fie amestecate, de exemplu într-un recipient, într-o instalație de prelucrare sau logistică, într-o infrastructură de transport și de distribuție sau într-un amplasament de acest gen;</w:t>
      </w:r>
    </w:p>
    <w:p w14:paraId="043E29C7" w14:textId="77777777" w:rsidR="00ED18D4" w:rsidRDefault="00ED18D4" w:rsidP="00ED18D4">
      <w:pPr>
        <w:spacing w:before="0" w:line="240" w:lineRule="auto"/>
        <w:ind w:left="0" w:firstLine="0"/>
        <w:rPr>
          <w:noProof w:val="0"/>
        </w:rPr>
      </w:pPr>
      <w:r>
        <w:rPr>
          <w:noProof w:val="0"/>
        </w:rPr>
        <w:t>b) permite ca loturile de materii prime cu conținut energetic diferit să fie amestecate în scopul prelucrării ulterioare cu condiția ca dimensiunea loturilor să fie ajustată în funcție de conținutul lor energetic;</w:t>
      </w:r>
    </w:p>
    <w:p w14:paraId="5FD561ED" w14:textId="77777777" w:rsidR="00ED18D4" w:rsidRDefault="00ED18D4" w:rsidP="00ED18D4">
      <w:pPr>
        <w:spacing w:before="0" w:line="240" w:lineRule="auto"/>
        <w:ind w:left="0" w:firstLine="0"/>
        <w:rPr>
          <w:noProof w:val="0"/>
        </w:rPr>
      </w:pPr>
      <w:r>
        <w:rPr>
          <w:noProof w:val="0"/>
        </w:rPr>
        <w:t>c) impune ca informațiile cu privire la caracteristicile de durabilitate și de reducere a emisiilor de gaze cu efect de seră, precum și la dimensiunea loturilor prevăzute la lit. a) să rămână asociate amestecului; și</w:t>
      </w:r>
    </w:p>
    <w:p w14:paraId="181AA880" w14:textId="77777777" w:rsidR="00ED18D4" w:rsidRDefault="00ED18D4" w:rsidP="00ED18D4">
      <w:pPr>
        <w:spacing w:before="0" w:line="240" w:lineRule="auto"/>
        <w:ind w:left="0" w:firstLine="0"/>
        <w:rPr>
          <w:noProof w:val="0"/>
        </w:rPr>
      </w:pPr>
      <w:r>
        <w:rPr>
          <w:noProof w:val="0"/>
        </w:rPr>
        <w:t xml:space="preserve">d) prevede ca suma tuturor loturilor retrase din amestec să fie descrisă ca având aceleași caracteristici de durabilitate, în aceleași cantități ca suma tuturor loturilor adăugate la amestec și impune ca acest echilibru să fie atins pe o perioadă adecvată.  </w:t>
      </w:r>
    </w:p>
    <w:p w14:paraId="51BF0373" w14:textId="1654888A" w:rsidR="00ED18D4" w:rsidRDefault="00ED18D4" w:rsidP="00ED18D4">
      <w:pPr>
        <w:pStyle w:val="Heading5"/>
      </w:pPr>
      <w:r>
        <w:t>La art. 30 se modifică alin. (3) și va avea următorul cuprins:</w:t>
      </w:r>
    </w:p>
    <w:p w14:paraId="27F44186" w14:textId="77777777" w:rsidR="00ED18D4" w:rsidRDefault="00ED18D4" w:rsidP="00ED18D4">
      <w:pPr>
        <w:spacing w:before="0" w:line="240" w:lineRule="auto"/>
        <w:ind w:left="0" w:firstLine="0"/>
        <w:rPr>
          <w:noProof w:val="0"/>
        </w:rPr>
      </w:pPr>
      <w:r>
        <w:rPr>
          <w:noProof w:val="0"/>
        </w:rPr>
        <w:lastRenderedPageBreak/>
        <w:t>(2) Atunci când un lot este prelucrat, informațiile referitoare la caracteristicile de durabilitate și de reducere a emisiilor de gaze cu efect de seră ale lotului se ajustează și se alocă rezultatelor producției în conformitate cu următoarele reguli:</w:t>
      </w:r>
    </w:p>
    <w:p w14:paraId="608276FD" w14:textId="77777777" w:rsidR="00ED18D4" w:rsidRDefault="00ED18D4" w:rsidP="00ED18D4">
      <w:pPr>
        <w:spacing w:before="0" w:line="240" w:lineRule="auto"/>
        <w:ind w:left="0" w:firstLine="0"/>
        <w:rPr>
          <w:noProof w:val="0"/>
        </w:rPr>
      </w:pPr>
      <w:r>
        <w:rPr>
          <w:noProof w:val="0"/>
        </w:rPr>
        <w:t>a) atunci când prelucrarea unui lot de materii prime duce la obținerea unui singur rezultat al producției care este destinat producerii de biocombustibili, de biolichide sau de combustibili din biomasă, de combustibili din surse regenerabile de origine nebiologică sau de combustibili pe bază de carbon reciclat, dimensiunea lotului și cantitățile aferente ale caracteristicilor de durabilitate și de reducere a emisiilor de gaze cu efect de seră sunt ajustate prin aplicarea unui factor de conversie care reprezintă raportul dintre masa rezultatului producției care este destinat unei astfel de produceri și masa de materii prime care intră în proces;</w:t>
      </w:r>
    </w:p>
    <w:p w14:paraId="081BA26D" w14:textId="77777777" w:rsidR="00ED18D4" w:rsidRDefault="00ED18D4" w:rsidP="00ED18D4">
      <w:pPr>
        <w:spacing w:before="0" w:line="240" w:lineRule="auto"/>
        <w:ind w:left="0" w:firstLine="0"/>
        <w:rPr>
          <w:noProof w:val="0"/>
        </w:rPr>
      </w:pPr>
      <w:r>
        <w:rPr>
          <w:noProof w:val="0"/>
        </w:rPr>
        <w:t>b) atunci când prelucrarea unui lot de materii prime duce la obținerea mai multor rezultate ale producției care sunt destinate producerii de biocombustibili, de biolichide sau de combustibili din biomasă, de combustibili din surse regenerabile de origine nebiologică sau de combustibili pe bază de carbon reciclat, pentru fiecare rezultat al producției în parte se aplică un factor de conversie separat și se folosește un bilanț masic separat.</w:t>
      </w:r>
    </w:p>
    <w:p w14:paraId="2732F342" w14:textId="77777777" w:rsidR="00ED18D4" w:rsidRDefault="00ED18D4" w:rsidP="00ED18D4">
      <w:pPr>
        <w:spacing w:before="0" w:line="240" w:lineRule="auto"/>
        <w:ind w:left="0" w:firstLine="0"/>
        <w:rPr>
          <w:noProof w:val="0"/>
        </w:rPr>
      </w:pPr>
    </w:p>
    <w:p w14:paraId="68AB05A3" w14:textId="386AC24B" w:rsidR="00ED18D4" w:rsidRDefault="00ED18D4" w:rsidP="00ED18D4">
      <w:pPr>
        <w:pStyle w:val="Heading5"/>
      </w:pPr>
      <w:r>
        <w:t>La art. 30 se modifică alin. (4) și (5) și vor avea următorul cuprins:</w:t>
      </w:r>
    </w:p>
    <w:p w14:paraId="0404362E" w14:textId="77777777" w:rsidR="00ED18D4" w:rsidRDefault="00ED18D4" w:rsidP="00ED18D4">
      <w:pPr>
        <w:spacing w:before="0" w:line="240" w:lineRule="auto"/>
        <w:ind w:left="0" w:firstLine="0"/>
        <w:rPr>
          <w:noProof w:val="0"/>
        </w:rPr>
      </w:pPr>
      <w:r>
        <w:rPr>
          <w:noProof w:val="0"/>
        </w:rPr>
        <w:t xml:space="preserve"> (4) Ministerul de resort ia măsuri pentru a se asigura că operatorii economici prezintă informații fiabile privind respectarea criteriilor de durabilitate și de reducere a emisiilor de gaze cu efect de seră stabilite la art. 29 alin. (6)-(15) și la art. (29^1) alin. (1) și (2) și pun la dispoziția ministerului, la cerere, datele utilizate pentru elaborarea informațiilor respective. </w:t>
      </w:r>
    </w:p>
    <w:p w14:paraId="309F2EC5" w14:textId="77777777" w:rsidR="00ED18D4" w:rsidRDefault="00ED18D4" w:rsidP="00ED18D4">
      <w:pPr>
        <w:spacing w:before="0" w:line="240" w:lineRule="auto"/>
        <w:ind w:left="0" w:firstLine="0"/>
        <w:rPr>
          <w:noProof w:val="0"/>
        </w:rPr>
      </w:pPr>
      <w:r>
        <w:rPr>
          <w:noProof w:val="0"/>
        </w:rPr>
        <w:t xml:space="preserve">(5) Operatorii economici sunt obligați să ia pentru elaborarea unui standard corespunzător de audit independent al informațiilor prezentate și să prezinte dovezi că au realizat acest lucru. Pentru conformitatea cu art. 29 alin. (7) lit. a), b), și d), alin. (8) lit) a), alin. (10), alin (11) lit. a) și  alin. (12) lit. a), se poate recurge la audituri interne sau externe până la primul punct de colectare a biomasei forestiere. </w:t>
      </w:r>
    </w:p>
    <w:p w14:paraId="65D20DE9" w14:textId="0793396A" w:rsidR="00ED18D4" w:rsidRDefault="00ED18D4" w:rsidP="00ED18D4">
      <w:pPr>
        <w:pStyle w:val="Heading5"/>
      </w:pPr>
      <w:r>
        <w:t>La art. 30 se modifică alin. (7) și va avea următorul cuprins:</w:t>
      </w:r>
    </w:p>
    <w:p w14:paraId="466C9563" w14:textId="77777777" w:rsidR="00ED18D4" w:rsidRDefault="00ED18D4" w:rsidP="00ED18D4">
      <w:pPr>
        <w:spacing w:before="0" w:line="240" w:lineRule="auto"/>
        <w:ind w:left="0" w:firstLine="0"/>
        <w:rPr>
          <w:noProof w:val="0"/>
        </w:rPr>
      </w:pPr>
      <w:r>
        <w:rPr>
          <w:noProof w:val="0"/>
        </w:rPr>
        <w:t xml:space="preserve">(7) Obligațiile prevăzute la (4)-(6) se aplică indiferent dacă combustibilii din surse regenerabile și combustibilii pe bază de carbon reciclat sunt produși sau importați în interiorul Uniunii. </w:t>
      </w:r>
    </w:p>
    <w:p w14:paraId="4EABC677" w14:textId="7F1F739D" w:rsidR="00ED18D4" w:rsidRDefault="00ED18D4" w:rsidP="00ED18D4">
      <w:pPr>
        <w:pStyle w:val="Heading5"/>
      </w:pPr>
      <w:r>
        <w:t>La art. 30 se modifică alin. (10) și va avea următorul cuprins:</w:t>
      </w:r>
    </w:p>
    <w:p w14:paraId="2EE9925B" w14:textId="77777777" w:rsidR="00ED18D4" w:rsidRDefault="00ED18D4" w:rsidP="00ED18D4">
      <w:pPr>
        <w:spacing w:before="0" w:line="240" w:lineRule="auto"/>
        <w:ind w:left="0" w:firstLine="0"/>
        <w:rPr>
          <w:noProof w:val="0"/>
        </w:rPr>
      </w:pPr>
      <w:r>
        <w:rPr>
          <w:noProof w:val="0"/>
        </w:rPr>
        <w:t>(10) Ministerul de resort poate instritui sisteme naționale în cadrul cărora respectarea criteriilor de durabilitate și de reducere a emisiilor de gaze cu efect de seră stabilite la art. 29 alin. (6)-(15) și la art. (29^1) alin. (1) și (2), în conformitate cu metodologia elaborată în temeiul art. (29^1) alin. (3), este verificată de-a lungul întregului lanț de custodie implicând autoritățile competente. Sistemele respective pot fi utilizate, de asemenea, pentru a verifica exactitatea și caracterul complet al informațiilor incluse de operatorii economici în baza de date a Uniunii, pentru a demonstra respectarea art. 27 alin. (6) și pentru certificarea biocombustibililor, a biolichidelor și a combustibililor din biomasă care prezintă riscuri reduse din perspectiva schimbării indirecte a destinației terenurilor.</w:t>
      </w:r>
    </w:p>
    <w:p w14:paraId="155003A5" w14:textId="360E3E19" w:rsidR="00ED18D4" w:rsidRDefault="00ED18D4" w:rsidP="00ED18D4">
      <w:pPr>
        <w:spacing w:before="0" w:line="240" w:lineRule="auto"/>
        <w:ind w:left="0" w:firstLine="0"/>
        <w:rPr>
          <w:noProof w:val="0"/>
        </w:rPr>
      </w:pPr>
      <w:r>
        <w:rPr>
          <w:noProof w:val="0"/>
        </w:rPr>
        <w:t xml:space="preserve"> </w:t>
      </w:r>
    </w:p>
    <w:p w14:paraId="39A88FF5" w14:textId="3146236E" w:rsidR="00ED18D4" w:rsidRDefault="00ED18D4" w:rsidP="00ED18D4">
      <w:pPr>
        <w:pStyle w:val="Heading5"/>
      </w:pPr>
      <w:r>
        <w:t>La art. 30 se introduce după alin. (11) un nou alin. (11^1) cu următorul cuprins:</w:t>
      </w:r>
    </w:p>
    <w:p w14:paraId="12A77AA1" w14:textId="77777777" w:rsidR="00ED18D4" w:rsidRDefault="00ED18D4" w:rsidP="00ED18D4">
      <w:pPr>
        <w:spacing w:before="0" w:line="240" w:lineRule="auto"/>
        <w:ind w:left="0" w:firstLine="0"/>
        <w:rPr>
          <w:noProof w:val="0"/>
        </w:rPr>
      </w:pPr>
      <w:r>
        <w:rPr>
          <w:noProof w:val="0"/>
        </w:rPr>
        <w:t>(11^1) Pentru instalațiile care produc energie electrică pentru încălzire și răcire cu o putere termică instalată totală cuprinsă între 7,5 și 20 MW, autoritățile competente pot stabili sisteme naționale de verificare simplificate pentru a asigura îndeplinirea criteriilor de durabilitate și de reducere a emisiilor de gaze cu efect de seră prevăzute la art. 29 alin. (6)-(15). Pentru aceleași instalații, actele de punere în aplicare prevăzute alin. (8) din Directiva (UE) 2018/2001 stabilesc condiții uniforme pentru sistemele simplificate de verificare voluntară menite să asigure îndeplinirea criteriilor de durabilitate și de reducere a emisiilor de gaze cu efect de seră prevăzute la art. 29 alin. (6)-(15).</w:t>
      </w:r>
    </w:p>
    <w:p w14:paraId="3E18370C" w14:textId="74ED7564" w:rsidR="00ED18D4" w:rsidRDefault="00ED18D4" w:rsidP="00ED18D4">
      <w:pPr>
        <w:pStyle w:val="Heading5"/>
      </w:pPr>
      <w:r>
        <w:lastRenderedPageBreak/>
        <w:t>După art. 30 se introduce un nou art. (30^1) cu următorul cuprins:</w:t>
      </w:r>
    </w:p>
    <w:p w14:paraId="4204A8EB" w14:textId="54BD76C9" w:rsidR="00ED18D4" w:rsidRDefault="00ED18D4" w:rsidP="00ED18D4">
      <w:pPr>
        <w:spacing w:before="0" w:line="240" w:lineRule="auto"/>
        <w:ind w:left="0" w:firstLine="0"/>
        <w:rPr>
          <w:noProof w:val="0"/>
        </w:rPr>
      </w:pPr>
      <w:r>
        <w:rPr>
          <w:noProof w:val="0"/>
        </w:rPr>
        <w:t>(1)Autoritățile competente impun operatorilor economici relevanți să introducă în timp util în baza de date a Uniunii date exacte privind tranzacțiile realizate și caracteristicile de durabilitate ale combustibililor care fac obiectul tranzacțiilor respective, inclusiv emisiile lor de gaze cu efect de seră generate pe durata ciclului de viață, începând de la punctul lor de producție și până la momentul în care sunt introduși pe piață în Uniune.</w:t>
      </w:r>
    </w:p>
    <w:p w14:paraId="47D105E1" w14:textId="0382E7CC" w:rsidR="00ED18D4" w:rsidRDefault="00ED18D4" w:rsidP="00ED18D4">
      <w:pPr>
        <w:spacing w:before="0" w:line="240" w:lineRule="auto"/>
        <w:ind w:left="0" w:firstLine="0"/>
        <w:rPr>
          <w:noProof w:val="0"/>
        </w:rPr>
      </w:pPr>
      <w:r>
        <w:rPr>
          <w:noProof w:val="0"/>
        </w:rPr>
        <w:t xml:space="preserve">(2)În scopul alin. (1): </w:t>
      </w:r>
    </w:p>
    <w:p w14:paraId="38DB5FA8" w14:textId="50032A5E" w:rsidR="00ED18D4" w:rsidRDefault="00ED18D4" w:rsidP="00ED18D4">
      <w:pPr>
        <w:spacing w:before="0" w:line="240" w:lineRule="auto"/>
        <w:ind w:left="0" w:firstLine="0"/>
        <w:rPr>
          <w:noProof w:val="0"/>
        </w:rPr>
      </w:pPr>
      <w:r>
        <w:rPr>
          <w:noProof w:val="0"/>
        </w:rPr>
        <w:t>a)sistemul interconectat de gaze este considerat a fi un sistem unic de echilibrare a masei;</w:t>
      </w:r>
    </w:p>
    <w:p w14:paraId="52F17E7B" w14:textId="247D26E6" w:rsidR="00ED18D4" w:rsidRDefault="00ED18D4" w:rsidP="00ED18D4">
      <w:pPr>
        <w:spacing w:before="0" w:line="240" w:lineRule="auto"/>
        <w:ind w:left="0" w:firstLine="0"/>
        <w:rPr>
          <w:noProof w:val="0"/>
        </w:rPr>
      </w:pPr>
      <w:r>
        <w:rPr>
          <w:noProof w:val="0"/>
        </w:rPr>
        <w:t>b)operatorilor economici relevanți introduc date despre injectarea și retragerea de combustibili gazoși din surse regenerabile;</w:t>
      </w:r>
    </w:p>
    <w:p w14:paraId="158E1558" w14:textId="704A1BB8" w:rsidR="00ED18D4" w:rsidRDefault="00ED18D4" w:rsidP="00ED18D4">
      <w:pPr>
        <w:spacing w:before="0" w:line="240" w:lineRule="auto"/>
        <w:ind w:left="0" w:firstLine="0"/>
        <w:rPr>
          <w:noProof w:val="0"/>
        </w:rPr>
      </w:pPr>
      <w:r>
        <w:rPr>
          <w:noProof w:val="0"/>
        </w:rPr>
        <w:t>c)operatorii economici relevanți introduc date din care să reiasă dacă producerea unui anumit lot de combustibil a beneficiat de sprijin și, în caz afirmativ, care este tipul schemei de sprijin. Respectivele date pot fi introduse în baza de date a Uniunii prin intermediul bazelor de date naționale.</w:t>
      </w:r>
    </w:p>
    <w:p w14:paraId="06D59096" w14:textId="66165DB3" w:rsidR="00ED18D4" w:rsidRDefault="00ED18D4" w:rsidP="00ED18D4">
      <w:pPr>
        <w:spacing w:before="0" w:line="240" w:lineRule="auto"/>
        <w:ind w:left="0" w:firstLine="0"/>
        <w:rPr>
          <w:noProof w:val="0"/>
        </w:rPr>
      </w:pPr>
      <w:r>
        <w:rPr>
          <w:noProof w:val="0"/>
        </w:rPr>
        <w:t>(3)Autoritățile competente impun furnizorilor de combustibili să introducă în baza de date a Uniunii datele necesare pentru verificarea respectării cerințelor stabilite la art. 25 alin. (1)-(5).</w:t>
      </w:r>
    </w:p>
    <w:p w14:paraId="4A188623" w14:textId="03157F9C" w:rsidR="00ED18D4" w:rsidRDefault="00ED18D4" w:rsidP="00ED18D4">
      <w:pPr>
        <w:spacing w:before="0" w:line="240" w:lineRule="auto"/>
        <w:ind w:left="0" w:firstLine="0"/>
        <w:rPr>
          <w:noProof w:val="0"/>
        </w:rPr>
      </w:pPr>
      <w:r>
        <w:rPr>
          <w:noProof w:val="0"/>
        </w:rPr>
        <w:t>(4)În vazul în care se instituie un sistem de echilibrare a mesei cu un sistem de garanții de origine, pentru combustibilii gazoși injectați în infrastructura interconectată de gaze a Uniunii, operatorii economici introduc informații privind tranzacțiile efectuate, privind caracteristicile de durabilitate și alte date relevante, precum emisiile de GES ale combustibililor până la punctul de injecție în infrastructura de gaze interconectată.</w:t>
      </w:r>
    </w:p>
    <w:p w14:paraId="29DEB6AC" w14:textId="6ACD4681" w:rsidR="00ED18D4" w:rsidRDefault="00ED18D4" w:rsidP="00ED18D4">
      <w:pPr>
        <w:spacing w:before="0" w:line="240" w:lineRule="auto"/>
        <w:ind w:left="0" w:firstLine="0"/>
        <w:rPr>
          <w:noProof w:val="0"/>
        </w:rPr>
      </w:pPr>
      <w:r>
        <w:rPr>
          <w:noProof w:val="0"/>
        </w:rPr>
        <w:t>(5)Autoritățile competente are acces la baza de date a Uniunii în scopul monitorizării și al verificării datelor.</w:t>
      </w:r>
    </w:p>
    <w:p w14:paraId="6012A2AC" w14:textId="5C29EC93" w:rsidR="00ED18D4" w:rsidRDefault="00ED18D4" w:rsidP="00ED18D4">
      <w:pPr>
        <w:spacing w:before="0" w:line="240" w:lineRule="auto"/>
        <w:ind w:left="0" w:firstLine="0"/>
        <w:rPr>
          <w:noProof w:val="0"/>
        </w:rPr>
      </w:pPr>
      <w:r>
        <w:rPr>
          <w:noProof w:val="0"/>
        </w:rPr>
        <w:t>(6)Prin excepție alin. (2) – (5), în cazul în care au fost emise garanții de origine pentru producerea unui lot de gaze din surse regenerabile, autoritățile competente se asigură că respectivele garanții de origine sunt transferate în baza de date a Uniunii în momentul în care o livrare de gaze din surse regenerabile este înregistrată în baza de date a Uniunii și sunt anulate după ce lotul de gaze regenerabile este retras din infrastructura de gaze interconectată a Uniunii. Aceste garanții de origine, odată transferate, nu pot fi comercializate în afara bazei de date a Uniunii.</w:t>
      </w:r>
    </w:p>
    <w:p w14:paraId="45F7978C" w14:textId="6468CA4C" w:rsidR="00ED18D4" w:rsidRDefault="00ED18D4" w:rsidP="00ED18D4">
      <w:pPr>
        <w:spacing w:before="0" w:line="240" w:lineRule="auto"/>
        <w:ind w:left="0" w:firstLine="0"/>
        <w:rPr>
          <w:noProof w:val="0"/>
        </w:rPr>
      </w:pPr>
      <w:r>
        <w:rPr>
          <w:noProof w:val="0"/>
        </w:rPr>
        <w:t>(7)Autoritățile competente verifică exactitatea și exhaustivitatea datelor introduse de operatorii economici în baza de date sunt verificate , apelând la organismele de certificare în cadrul sistemelor voluntare sau naționale recunoscute de Comisie în concordanță cu art. 30 alin (4) și (5) din Directiva (UE) 2018/2001 și cu art. 30 alin. (10) și (11) și care pot fi completate de un sistem de garanții de origine.</w:t>
      </w:r>
    </w:p>
    <w:p w14:paraId="467DA163" w14:textId="2325B135" w:rsidR="00ED18D4" w:rsidRDefault="00ED18D4" w:rsidP="00ED18D4">
      <w:pPr>
        <w:spacing w:before="0" w:line="240" w:lineRule="auto"/>
        <w:ind w:left="0" w:firstLine="0"/>
        <w:rPr>
          <w:noProof w:val="0"/>
        </w:rPr>
      </w:pPr>
      <w:r>
        <w:rPr>
          <w:noProof w:val="0"/>
        </w:rPr>
        <w:t>(8)Sistemele voluntare sau naționale pot utiliza sistemele de informații ale terților ca intermediari pentru colectarea datelor, cu condiția ca această utilizare să fi fost notificată Comisiei.</w:t>
      </w:r>
    </w:p>
    <w:p w14:paraId="5CA53066" w14:textId="780C11CC" w:rsidR="00ED18D4" w:rsidRDefault="00ED18D4" w:rsidP="00ED18D4">
      <w:pPr>
        <w:spacing w:before="0" w:line="240" w:lineRule="auto"/>
        <w:ind w:left="0" w:firstLine="0"/>
        <w:rPr>
          <w:noProof w:val="0"/>
        </w:rPr>
      </w:pPr>
      <w:r>
        <w:rPr>
          <w:noProof w:val="0"/>
        </w:rPr>
        <w:t>(9)Autoritățile competente pot utiliza o bază de date națională deja existentă aliniată și conectată la baza de date a Uniunii printr-o interfață sau poate crea o bază de date națională, care să poată fi utilizată de operatorii economici ca instrument pentru colectarea și declararea datelor și pentru introducerea și transferarea datelor respective în baza de date a Uniunii, cu condiția ca:</w:t>
      </w:r>
    </w:p>
    <w:p w14:paraId="483EA64D" w14:textId="77777777" w:rsidR="00ED18D4" w:rsidRDefault="00ED18D4" w:rsidP="00ED18D4">
      <w:pPr>
        <w:spacing w:before="0" w:line="240" w:lineRule="auto"/>
        <w:ind w:left="0" w:firstLine="0"/>
        <w:rPr>
          <w:noProof w:val="0"/>
        </w:rPr>
      </w:pPr>
      <w:r>
        <w:rPr>
          <w:noProof w:val="0"/>
        </w:rPr>
        <w:t>a) baza de date națională să fie compatibilă cu baza de date a Uniunii, inclusiv în ceea ce privește rapiditatea transmiterii datelor, tipologia seturilor de date transferate și protocoalele privind calitatea datelor și verificarea datelor;</w:t>
      </w:r>
    </w:p>
    <w:p w14:paraId="267EAB5F" w14:textId="77777777" w:rsidR="00ED18D4" w:rsidRDefault="00ED18D4" w:rsidP="00ED18D4">
      <w:pPr>
        <w:spacing w:before="0" w:line="240" w:lineRule="auto"/>
        <w:ind w:left="0" w:firstLine="0"/>
        <w:rPr>
          <w:noProof w:val="0"/>
        </w:rPr>
      </w:pPr>
      <w:r>
        <w:rPr>
          <w:noProof w:val="0"/>
        </w:rPr>
        <w:t>b) datele introduse în baza de date națională să fie transferate instantaneu în baza de date a Uniunii.</w:t>
      </w:r>
    </w:p>
    <w:p w14:paraId="6481155B" w14:textId="4F65B990" w:rsidR="00ED18D4" w:rsidRDefault="00ED18D4" w:rsidP="00ED18D4">
      <w:pPr>
        <w:spacing w:before="0" w:line="240" w:lineRule="auto"/>
        <w:ind w:left="0" w:firstLine="0"/>
        <w:rPr>
          <w:noProof w:val="0"/>
        </w:rPr>
      </w:pPr>
      <w:r>
        <w:rPr>
          <w:noProof w:val="0"/>
        </w:rPr>
        <w:t xml:space="preserve">(10)În vederea aplicării prevederilor alin. (9), autoritățile competente pot crea baze de date naționale în conformitate cu dispozițiile sau practica națională și poate lua în considerare cerințe mai stricte la nivel național în ceea ce privește criteriile de sustenabilitate. Aceste baze de date </w:t>
      </w:r>
      <w:r>
        <w:rPr>
          <w:noProof w:val="0"/>
        </w:rPr>
        <w:lastRenderedPageBreak/>
        <w:t>naționale nu ar trebui să împiedice trasabilitatea generală a transporturilor durabile de materii prime sau de combustibili care urmează să fie introduse în baza de date a Uniunii.</w:t>
      </w:r>
    </w:p>
    <w:p w14:paraId="471D2697" w14:textId="0C8CB450" w:rsidR="00ED18D4" w:rsidRDefault="00ED18D4" w:rsidP="00ED18D4">
      <w:pPr>
        <w:spacing w:before="0" w:line="240" w:lineRule="auto"/>
        <w:ind w:left="0" w:firstLine="0"/>
        <w:rPr>
          <w:noProof w:val="0"/>
        </w:rPr>
      </w:pPr>
      <w:r>
        <w:rPr>
          <w:noProof w:val="0"/>
        </w:rPr>
        <w:t>(11)Verificarea calității datelor introduse în baza de date a Uniunii prin intermediul bazelor de date naționale, a caracteristicilor de sustenabilitate ale combustibililor în raport cu datele respective și aprobarea finală a tranzacțiilor au loc exclusiv prin baza de date a Uniunii. Exactitatea și caracterul complet al datelor respective se verifică în conformitate cu Regulamentul de punere în aplicare (UE) 2022/996 al Comisiei; acestea pot fi verificate de organismele de certificare.</w:t>
      </w:r>
    </w:p>
    <w:p w14:paraId="1931CBA8" w14:textId="525B7DAF" w:rsidR="00F72B0B" w:rsidRDefault="00ED18D4" w:rsidP="00ED18D4">
      <w:pPr>
        <w:spacing w:before="0" w:line="240" w:lineRule="auto"/>
        <w:ind w:left="0" w:firstLine="0"/>
        <w:rPr>
          <w:noProof w:val="0"/>
        </w:rPr>
      </w:pPr>
      <w:r>
        <w:rPr>
          <w:noProof w:val="0"/>
        </w:rPr>
        <w:t xml:space="preserve">(12)În vederea aplicării prevederilor alin. (10) autoritățile competente transmit Comisiei caracteristicile detaliate ale bazei de date naționale în vederea evaluării. </w:t>
      </w:r>
      <w:r w:rsidR="00F72B0B">
        <w:rPr>
          <w:noProof w:val="0"/>
        </w:rPr>
        <w:br w:type="page"/>
      </w:r>
    </w:p>
    <w:p w14:paraId="3694D2DA" w14:textId="070F2034" w:rsidR="00555F85" w:rsidRPr="00555F85" w:rsidRDefault="00555F85" w:rsidP="00555F85">
      <w:pPr>
        <w:pStyle w:val="Heading5"/>
        <w:rPr>
          <w:b w:val="0"/>
          <w:bCs w:val="0"/>
          <w:color w:val="0D0D0D" w:themeColor="text1" w:themeTint="F2"/>
        </w:rPr>
      </w:pPr>
      <w:r w:rsidRPr="00555F85">
        <w:rPr>
          <w:rStyle w:val="Heading5Char"/>
          <w:b/>
          <w:bCs/>
        </w:rPr>
        <w:lastRenderedPageBreak/>
        <w:t>După Anexa nr. 1 se introduce o nouă Anexa nr. 1A, cu următorul cuprins</w:t>
      </w:r>
      <w:r w:rsidRPr="00555F85">
        <w:rPr>
          <w:b w:val="0"/>
          <w:bCs w:val="0"/>
          <w:color w:val="0D0D0D" w:themeColor="text1" w:themeTint="F2"/>
        </w:rPr>
        <w:t>:</w:t>
      </w:r>
    </w:p>
    <w:p w14:paraId="0669C12D" w14:textId="77777777" w:rsidR="00555F85" w:rsidRPr="00054335" w:rsidRDefault="00555F85" w:rsidP="00555F85">
      <w:pPr>
        <w:rPr>
          <w:b/>
          <w:bCs/>
          <w:color w:val="0D0D0D" w:themeColor="text1" w:themeTint="F2"/>
        </w:rPr>
      </w:pPr>
      <w:r w:rsidRPr="00054335">
        <w:rPr>
          <w:b/>
          <w:bCs/>
          <w:color w:val="0D0D0D" w:themeColor="text1" w:themeTint="F2"/>
        </w:rPr>
        <w:t>ANEXA 1A</w:t>
      </w:r>
    </w:p>
    <w:p w14:paraId="222495DE" w14:textId="77777777" w:rsidR="00555F85" w:rsidRPr="00054335" w:rsidRDefault="00555F85" w:rsidP="00555F85">
      <w:pPr>
        <w:rPr>
          <w:b/>
          <w:bCs/>
          <w:color w:val="0D0D0D" w:themeColor="text1" w:themeTint="F2"/>
        </w:rPr>
      </w:pPr>
      <w:r w:rsidRPr="00054335">
        <w:rPr>
          <w:b/>
          <w:bCs/>
          <w:color w:val="0D0D0D" w:themeColor="text1" w:themeTint="F2"/>
        </w:rPr>
        <w:t>PONDERILE NAȚIONALE ALE ENERGIEI PENTRU ÎNCĂLZIRE ȘI RĂCIRE DIN SURSE REGENERABILE ÎN CONSUMUL FINAL BRUT DE ENERGIE PENTRU PERIOADA 2020-2030 – pentru România</w:t>
      </w:r>
    </w:p>
    <w:tbl>
      <w:tblPr>
        <w:tblStyle w:val="PlainTable11"/>
        <w:tblW w:w="0" w:type="auto"/>
        <w:tblLook w:val="05A0" w:firstRow="1" w:lastRow="0" w:firstColumn="1" w:lastColumn="1" w:noHBand="0" w:noVBand="1"/>
      </w:tblPr>
      <w:tblGrid>
        <w:gridCol w:w="2101"/>
        <w:gridCol w:w="2290"/>
        <w:gridCol w:w="2290"/>
        <w:gridCol w:w="2379"/>
      </w:tblGrid>
      <w:tr w:rsidR="00555F85" w:rsidRPr="00054335" w14:paraId="636683E1" w14:textId="77777777" w:rsidTr="00083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0963A2A" w14:textId="77777777" w:rsidR="00555F85" w:rsidRPr="00054335" w:rsidRDefault="00555F85" w:rsidP="00083F72">
            <w:pPr>
              <w:rPr>
                <w:rFonts w:ascii="Times New Roman" w:hAnsi="Times New Roman" w:cs="Times New Roman"/>
                <w:color w:val="0D0D0D" w:themeColor="text1" w:themeTint="F2"/>
                <w:lang w:val="ro-RO"/>
              </w:rPr>
            </w:pPr>
          </w:p>
        </w:tc>
        <w:tc>
          <w:tcPr>
            <w:tcW w:w="2405" w:type="dxa"/>
          </w:tcPr>
          <w:p w14:paraId="4E425943" w14:textId="77777777" w:rsidR="00555F85" w:rsidRPr="00054335" w:rsidRDefault="00555F85" w:rsidP="00083F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lang w:val="ro-RO"/>
              </w:rPr>
            </w:pPr>
            <w:r w:rsidRPr="00054335">
              <w:rPr>
                <w:rFonts w:ascii="Times New Roman" w:hAnsi="Times New Roman" w:cs="Times New Roman"/>
                <w:color w:val="0D0D0D" w:themeColor="text1" w:themeTint="F2"/>
                <w:lang w:val="ro-RO"/>
              </w:rPr>
              <w:t>Suplimentări la articolul 23 alineatul (1)</w:t>
            </w:r>
          </w:p>
          <w:p w14:paraId="626750DB" w14:textId="77777777" w:rsidR="00555F85" w:rsidRPr="00054335" w:rsidRDefault="00555F85" w:rsidP="00083F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lang w:val="ro-RO"/>
              </w:rPr>
            </w:pPr>
            <w:r w:rsidRPr="00054335">
              <w:rPr>
                <w:rFonts w:ascii="Times New Roman" w:hAnsi="Times New Roman" w:cs="Times New Roman"/>
                <w:color w:val="0D0D0D" w:themeColor="text1" w:themeTint="F2"/>
                <w:lang w:val="ro-RO"/>
              </w:rPr>
              <w:t>(în puncte procentuale)</w:t>
            </w:r>
          </w:p>
          <w:p w14:paraId="3095C284" w14:textId="77777777" w:rsidR="00555F85" w:rsidRPr="00054335" w:rsidRDefault="00555F85" w:rsidP="00083F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lang w:val="ro-RO"/>
              </w:rPr>
            </w:pPr>
            <w:r w:rsidRPr="00054335">
              <w:rPr>
                <w:rFonts w:ascii="Times New Roman" w:hAnsi="Times New Roman" w:cs="Times New Roman"/>
                <w:color w:val="0D0D0D" w:themeColor="text1" w:themeTint="F2"/>
                <w:lang w:val="ro-RO"/>
              </w:rPr>
              <w:t>pentru perioada 2021-2025 (*)</w:t>
            </w:r>
          </w:p>
        </w:tc>
        <w:tc>
          <w:tcPr>
            <w:tcW w:w="2406" w:type="dxa"/>
          </w:tcPr>
          <w:p w14:paraId="7C541D70" w14:textId="77777777" w:rsidR="00555F85" w:rsidRPr="00054335" w:rsidRDefault="00555F85" w:rsidP="00083F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lang w:val="ro-RO"/>
              </w:rPr>
            </w:pPr>
            <w:r w:rsidRPr="00054335">
              <w:rPr>
                <w:rFonts w:ascii="Times New Roman" w:hAnsi="Times New Roman" w:cs="Times New Roman"/>
                <w:color w:val="0D0D0D" w:themeColor="text1" w:themeTint="F2"/>
                <w:lang w:val="ro-RO"/>
              </w:rPr>
              <w:t>Suplimentări la articolul 23 alineatul (1)</w:t>
            </w:r>
          </w:p>
          <w:p w14:paraId="41FA4993" w14:textId="77777777" w:rsidR="00555F85" w:rsidRPr="00054335" w:rsidRDefault="00555F85" w:rsidP="00083F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lang w:val="ro-RO"/>
              </w:rPr>
            </w:pPr>
            <w:r w:rsidRPr="00054335">
              <w:rPr>
                <w:rFonts w:ascii="Times New Roman" w:hAnsi="Times New Roman" w:cs="Times New Roman"/>
                <w:color w:val="0D0D0D" w:themeColor="text1" w:themeTint="F2"/>
                <w:lang w:val="ro-RO"/>
              </w:rPr>
              <w:t>(în puncte procentuale)</w:t>
            </w:r>
          </w:p>
          <w:p w14:paraId="39E557DB" w14:textId="77777777" w:rsidR="00555F85" w:rsidRPr="00054335" w:rsidRDefault="00555F85" w:rsidP="00083F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lang w:val="ro-RO"/>
              </w:rPr>
            </w:pPr>
            <w:r w:rsidRPr="00054335">
              <w:rPr>
                <w:rFonts w:ascii="Times New Roman" w:hAnsi="Times New Roman" w:cs="Times New Roman"/>
                <w:color w:val="0D0D0D" w:themeColor="text1" w:themeTint="F2"/>
                <w:lang w:val="ro-RO"/>
              </w:rPr>
              <w:t>pentru perioada 2026-2030 (**)</w:t>
            </w:r>
          </w:p>
        </w:tc>
        <w:tc>
          <w:tcPr>
            <w:cnfStyle w:val="000100000000" w:firstRow="0" w:lastRow="0" w:firstColumn="0" w:lastColumn="1" w:oddVBand="0" w:evenVBand="0" w:oddHBand="0" w:evenHBand="0" w:firstRowFirstColumn="0" w:firstRowLastColumn="0" w:lastRowFirstColumn="0" w:lastRowLastColumn="0"/>
            <w:tcW w:w="2406" w:type="dxa"/>
          </w:tcPr>
          <w:p w14:paraId="2E684307" w14:textId="77777777" w:rsidR="00555F85" w:rsidRPr="00054335" w:rsidRDefault="00555F85" w:rsidP="00083F72">
            <w:pPr>
              <w:rPr>
                <w:rFonts w:ascii="Times New Roman" w:hAnsi="Times New Roman" w:cs="Times New Roman"/>
                <w:color w:val="0D0D0D" w:themeColor="text1" w:themeTint="F2"/>
                <w:lang w:val="ro-RO"/>
              </w:rPr>
            </w:pPr>
            <w:r w:rsidRPr="00054335">
              <w:rPr>
                <w:rFonts w:ascii="Times New Roman" w:hAnsi="Times New Roman" w:cs="Times New Roman"/>
                <w:color w:val="0D0D0D" w:themeColor="text1" w:themeTint="F2"/>
                <w:lang w:val="ro-RO"/>
              </w:rPr>
              <w:t>Ponderile obținute în urma suplimentărilor, fără căldura și răcoarea reziduală</w:t>
            </w:r>
          </w:p>
          <w:p w14:paraId="70E02E8B" w14:textId="77777777" w:rsidR="00555F85" w:rsidRPr="00054335" w:rsidRDefault="00555F85" w:rsidP="00083F72">
            <w:pPr>
              <w:rPr>
                <w:rFonts w:ascii="Times New Roman" w:hAnsi="Times New Roman" w:cs="Times New Roman"/>
                <w:color w:val="0D0D0D" w:themeColor="text1" w:themeTint="F2"/>
                <w:lang w:val="ro-RO"/>
              </w:rPr>
            </w:pPr>
            <w:r w:rsidRPr="00054335">
              <w:rPr>
                <w:rFonts w:ascii="Times New Roman" w:hAnsi="Times New Roman" w:cs="Times New Roman"/>
                <w:color w:val="0D0D0D" w:themeColor="text1" w:themeTint="F2"/>
                <w:lang w:val="ro-RO"/>
              </w:rPr>
              <w:t>(în puncte procentuale)</w:t>
            </w:r>
          </w:p>
        </w:tc>
      </w:tr>
      <w:tr w:rsidR="00555F85" w:rsidRPr="00054335" w14:paraId="0A02DC2B" w14:textId="77777777" w:rsidTr="000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EDE3277" w14:textId="77777777" w:rsidR="00555F85" w:rsidRPr="00054335" w:rsidRDefault="00555F85" w:rsidP="00083F72">
            <w:pPr>
              <w:rPr>
                <w:rFonts w:ascii="Times New Roman" w:hAnsi="Times New Roman" w:cs="Times New Roman"/>
                <w:color w:val="0D0D0D" w:themeColor="text1" w:themeTint="F2"/>
                <w:lang w:val="ro-RO"/>
              </w:rPr>
            </w:pPr>
            <w:r w:rsidRPr="00054335">
              <w:rPr>
                <w:rFonts w:ascii="Times New Roman" w:hAnsi="Times New Roman" w:cs="Times New Roman"/>
                <w:color w:val="0D0D0D" w:themeColor="text1" w:themeTint="F2"/>
                <w:lang w:val="ro-RO"/>
              </w:rPr>
              <w:t>România</w:t>
            </w:r>
          </w:p>
        </w:tc>
        <w:tc>
          <w:tcPr>
            <w:tcW w:w="2405" w:type="dxa"/>
          </w:tcPr>
          <w:p w14:paraId="5D42F65D" w14:textId="77777777" w:rsidR="00555F85" w:rsidRPr="00054335" w:rsidRDefault="00555F85" w:rsidP="00083F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D0D0D" w:themeColor="text1" w:themeTint="F2"/>
                <w:lang w:val="ro-RO"/>
              </w:rPr>
            </w:pPr>
            <w:r w:rsidRPr="00054335">
              <w:rPr>
                <w:rFonts w:ascii="Times New Roman" w:hAnsi="Times New Roman" w:cs="Times New Roman"/>
                <w:b/>
                <w:bCs/>
                <w:color w:val="0D0D0D" w:themeColor="text1" w:themeTint="F2"/>
                <w:lang w:val="ro-RO"/>
              </w:rPr>
              <w:t>0,8</w:t>
            </w:r>
          </w:p>
        </w:tc>
        <w:tc>
          <w:tcPr>
            <w:tcW w:w="2406" w:type="dxa"/>
          </w:tcPr>
          <w:p w14:paraId="6CF246CB" w14:textId="77777777" w:rsidR="00555F85" w:rsidRPr="00054335" w:rsidRDefault="00555F85" w:rsidP="00083F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D0D0D" w:themeColor="text1" w:themeTint="F2"/>
                <w:lang w:val="ro-RO"/>
              </w:rPr>
            </w:pPr>
            <w:r w:rsidRPr="00054335">
              <w:rPr>
                <w:rFonts w:ascii="Times New Roman" w:hAnsi="Times New Roman" w:cs="Times New Roman"/>
                <w:b/>
                <w:bCs/>
                <w:color w:val="0D0D0D" w:themeColor="text1" w:themeTint="F2"/>
                <w:lang w:val="ro-RO"/>
              </w:rPr>
              <w:t>0,5</w:t>
            </w:r>
          </w:p>
        </w:tc>
        <w:tc>
          <w:tcPr>
            <w:cnfStyle w:val="000100000000" w:firstRow="0" w:lastRow="0" w:firstColumn="0" w:lastColumn="1" w:oddVBand="0" w:evenVBand="0" w:oddHBand="0" w:evenHBand="0" w:firstRowFirstColumn="0" w:firstRowLastColumn="0" w:lastRowFirstColumn="0" w:lastRowLastColumn="0"/>
            <w:tcW w:w="2406" w:type="dxa"/>
          </w:tcPr>
          <w:p w14:paraId="2592C100" w14:textId="77777777" w:rsidR="00555F85" w:rsidRPr="00054335" w:rsidRDefault="00555F85" w:rsidP="00083F72">
            <w:pPr>
              <w:rPr>
                <w:rFonts w:ascii="Times New Roman" w:hAnsi="Times New Roman" w:cs="Times New Roman"/>
                <w:color w:val="0D0D0D" w:themeColor="text1" w:themeTint="F2"/>
                <w:lang w:val="ro-RO"/>
              </w:rPr>
            </w:pPr>
            <w:r w:rsidRPr="00054335">
              <w:rPr>
                <w:rFonts w:ascii="Times New Roman" w:hAnsi="Times New Roman" w:cs="Times New Roman"/>
                <w:color w:val="0D0D0D" w:themeColor="text1" w:themeTint="F2"/>
                <w:lang w:val="ro-RO"/>
              </w:rPr>
              <w:t>1,6</w:t>
            </w:r>
          </w:p>
        </w:tc>
      </w:tr>
    </w:tbl>
    <w:p w14:paraId="2AC515D2" w14:textId="77777777" w:rsidR="00555F85" w:rsidRPr="00054335" w:rsidRDefault="00555F85" w:rsidP="00555F85">
      <w:pPr>
        <w:rPr>
          <w:color w:val="0D0D0D" w:themeColor="text1" w:themeTint="F2"/>
        </w:rPr>
      </w:pPr>
      <w:r w:rsidRPr="00054335">
        <w:rPr>
          <w:color w:val="0D0D0D" w:themeColor="text1" w:themeTint="F2"/>
        </w:rPr>
        <w:t>(*) Măsurile de flexibilitate prevăzute la articolul 23 alineatul (3) litera (a)  în care au fost luate în considerare la calcularea suplimentărilor și a ponderilor obținute.</w:t>
      </w:r>
    </w:p>
    <w:p w14:paraId="65E2D59B" w14:textId="77777777" w:rsidR="00555F85" w:rsidRPr="00054335" w:rsidRDefault="00555F85" w:rsidP="00555F85">
      <w:pPr>
        <w:rPr>
          <w:color w:val="0D0D0D" w:themeColor="text1" w:themeTint="F2"/>
        </w:rPr>
      </w:pPr>
      <w:r w:rsidRPr="00054335">
        <w:rPr>
          <w:color w:val="0D0D0D" w:themeColor="text1" w:themeTint="F2"/>
        </w:rPr>
        <w:t>(**) Măsurile de flexibilitate prevăzute la articolul 23 alineatul (3) litera (a) în care au fost luate în considerare la calcularea suplimentărilor și a ponderilor obținute.</w:t>
      </w:r>
    </w:p>
    <w:p w14:paraId="4A297D9D" w14:textId="6E62329F" w:rsidR="00555F85" w:rsidRPr="00054335" w:rsidRDefault="00555F85" w:rsidP="00555F85">
      <w:pPr>
        <w:pStyle w:val="Heading5"/>
      </w:pPr>
      <w:r w:rsidRPr="00054335">
        <w:t>Anexa nr. 2 se modifică și va avea următorul cuprins:</w:t>
      </w:r>
    </w:p>
    <w:p w14:paraId="34C4D5DD" w14:textId="77777777" w:rsidR="00555F85" w:rsidRPr="00083F72" w:rsidRDefault="00555F85" w:rsidP="00555F85">
      <w:pPr>
        <w:rPr>
          <w:b/>
          <w:bCs/>
          <w:i/>
          <w:iCs/>
          <w:color w:val="0D0D0D" w:themeColor="text1" w:themeTint="F2"/>
        </w:rPr>
      </w:pPr>
      <w:r w:rsidRPr="00083F72">
        <w:rPr>
          <w:b/>
          <w:bCs/>
          <w:i/>
          <w:iCs/>
          <w:color w:val="0D0D0D" w:themeColor="text1" w:themeTint="F2"/>
        </w:rPr>
        <w:t>ANEXA nr. 2</w:t>
      </w:r>
    </w:p>
    <w:p w14:paraId="7E4D535A" w14:textId="77777777" w:rsidR="00555F85" w:rsidRPr="00083F72" w:rsidRDefault="00555F85" w:rsidP="00555F85">
      <w:pPr>
        <w:rPr>
          <w:b/>
          <w:bCs/>
          <w:i/>
          <w:iCs/>
          <w:color w:val="0D0D0D" w:themeColor="text1" w:themeTint="F2"/>
        </w:rPr>
      </w:pPr>
      <w:r w:rsidRPr="00083F72">
        <w:rPr>
          <w:b/>
          <w:bCs/>
          <w:i/>
          <w:iCs/>
          <w:color w:val="0D0D0D" w:themeColor="text1" w:themeTint="F2"/>
        </w:rPr>
        <w:t>CONȚINUTUL DE ENERGIE PENTRU COMBUSTIBILI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968"/>
        <w:gridCol w:w="2043"/>
        <w:gridCol w:w="2043"/>
      </w:tblGrid>
      <w:tr w:rsidR="00555F85" w:rsidRPr="00054335" w14:paraId="2C1A180D"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839C40" w14:textId="77777777" w:rsidR="00555F85" w:rsidRPr="00083F72" w:rsidRDefault="00555F85" w:rsidP="00083F72">
            <w:pPr>
              <w:rPr>
                <w:b/>
                <w:bCs/>
                <w:color w:val="0D0D0D" w:themeColor="text1" w:themeTint="F2"/>
              </w:rPr>
            </w:pPr>
            <w:r w:rsidRPr="00083F72">
              <w:rPr>
                <w:b/>
                <w:bCs/>
                <w:color w:val="0D0D0D" w:themeColor="text1" w:themeTint="F2"/>
              </w:rPr>
              <w:t>Combustibil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0E4D7F" w14:textId="77777777" w:rsidR="00555F85" w:rsidRPr="00083F72" w:rsidRDefault="00555F85" w:rsidP="00083F72">
            <w:pPr>
              <w:rPr>
                <w:b/>
                <w:bCs/>
                <w:color w:val="0D0D0D" w:themeColor="text1" w:themeTint="F2"/>
              </w:rPr>
            </w:pPr>
            <w:r w:rsidRPr="00083F72">
              <w:rPr>
                <w:b/>
                <w:bCs/>
                <w:color w:val="0D0D0D" w:themeColor="text1" w:themeTint="F2"/>
              </w:rPr>
              <w:t>Conținut masic de energie</w:t>
            </w:r>
          </w:p>
          <w:p w14:paraId="32BFB98F" w14:textId="77777777" w:rsidR="00555F85" w:rsidRPr="00083F72" w:rsidRDefault="00555F85" w:rsidP="00083F72">
            <w:pPr>
              <w:rPr>
                <w:b/>
                <w:bCs/>
                <w:color w:val="0D0D0D" w:themeColor="text1" w:themeTint="F2"/>
              </w:rPr>
            </w:pPr>
            <w:r w:rsidRPr="00083F72">
              <w:rPr>
                <w:b/>
                <w:bCs/>
                <w:color w:val="0D0D0D" w:themeColor="text1" w:themeTint="F2"/>
              </w:rPr>
              <w:t>(putere calorifică inferioară, MJ/kg)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3E742D" w14:textId="77777777" w:rsidR="00555F85" w:rsidRPr="00083F72" w:rsidRDefault="00555F85" w:rsidP="00083F72">
            <w:pPr>
              <w:rPr>
                <w:b/>
                <w:bCs/>
                <w:color w:val="0D0D0D" w:themeColor="text1" w:themeTint="F2"/>
              </w:rPr>
            </w:pPr>
            <w:r w:rsidRPr="00083F72">
              <w:rPr>
                <w:b/>
                <w:bCs/>
                <w:color w:val="0D0D0D" w:themeColor="text1" w:themeTint="F2"/>
              </w:rPr>
              <w:t>Conținut volumic de energie</w:t>
            </w:r>
          </w:p>
          <w:p w14:paraId="76FB91ED" w14:textId="77777777" w:rsidR="00555F85" w:rsidRPr="00083F72" w:rsidRDefault="00555F85" w:rsidP="00083F72">
            <w:pPr>
              <w:rPr>
                <w:b/>
                <w:bCs/>
                <w:color w:val="0D0D0D" w:themeColor="text1" w:themeTint="F2"/>
              </w:rPr>
            </w:pPr>
            <w:r w:rsidRPr="00083F72">
              <w:rPr>
                <w:b/>
                <w:bCs/>
                <w:color w:val="0D0D0D" w:themeColor="text1" w:themeTint="F2"/>
              </w:rPr>
              <w:t>(putere calorifică inferioară, MJ/l)</w:t>
            </w:r>
          </w:p>
        </w:tc>
      </w:tr>
      <w:tr w:rsidR="00555F85" w:rsidRPr="00054335" w14:paraId="732D3ADA"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19829E" w14:textId="77777777" w:rsidR="00555F85" w:rsidRPr="00083F72" w:rsidRDefault="00555F85" w:rsidP="00083F72">
            <w:pPr>
              <w:rPr>
                <w:color w:val="0D0D0D" w:themeColor="text1" w:themeTint="F2"/>
              </w:rPr>
            </w:pPr>
            <w:r w:rsidRPr="00083F72">
              <w:rPr>
                <w:color w:val="0D0D0D" w:themeColor="text1" w:themeTint="F2"/>
              </w:rPr>
              <w:t>COMBUSTIBILI PROVENIȚI DIN BIOMASĂ ȘI/SAU DIN OPERAȚIUNI DE PRELUCRARE A BIOMASEI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B49D58" w14:textId="77777777" w:rsidR="00555F85" w:rsidRPr="00083F72" w:rsidRDefault="00555F85" w:rsidP="00083F72">
            <w:pPr>
              <w:rPr>
                <w:color w:val="0D0D0D" w:themeColor="text1" w:themeTint="F2"/>
              </w:rPr>
            </w:pPr>
            <w:r w:rsidRPr="00083F72">
              <w:rPr>
                <w:color w:val="0D0D0D" w:themeColor="text1" w:themeTint="F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0530C8" w14:textId="77777777" w:rsidR="00555F85" w:rsidRPr="00083F72" w:rsidRDefault="00555F85" w:rsidP="00083F72">
            <w:pPr>
              <w:rPr>
                <w:color w:val="0D0D0D" w:themeColor="text1" w:themeTint="F2"/>
              </w:rPr>
            </w:pPr>
            <w:r w:rsidRPr="00083F72">
              <w:rPr>
                <w:color w:val="0D0D0D" w:themeColor="text1" w:themeTint="F2"/>
              </w:rPr>
              <w:t> </w:t>
            </w:r>
          </w:p>
        </w:tc>
      </w:tr>
      <w:tr w:rsidR="00555F85" w:rsidRPr="00054335" w14:paraId="3152E1BF"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37A100" w14:textId="77777777" w:rsidR="00555F85" w:rsidRPr="00083F72" w:rsidRDefault="00555F85" w:rsidP="00083F72">
            <w:pPr>
              <w:rPr>
                <w:color w:val="0D0D0D" w:themeColor="text1" w:themeTint="F2"/>
              </w:rPr>
            </w:pPr>
            <w:r w:rsidRPr="00083F72">
              <w:rPr>
                <w:color w:val="0D0D0D" w:themeColor="text1" w:themeTint="F2"/>
              </w:rPr>
              <w:t>Biopropan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2854BD" w14:textId="77777777" w:rsidR="00555F85" w:rsidRPr="00083F72" w:rsidRDefault="00555F85" w:rsidP="00083F72">
            <w:pPr>
              <w:rPr>
                <w:color w:val="0D0D0D" w:themeColor="text1" w:themeTint="F2"/>
              </w:rPr>
            </w:pPr>
            <w:r w:rsidRPr="00083F72">
              <w:rPr>
                <w:color w:val="0D0D0D" w:themeColor="text1" w:themeTint="F2"/>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47CB66" w14:textId="77777777" w:rsidR="00555F85" w:rsidRPr="00083F72" w:rsidRDefault="00555F85" w:rsidP="00083F72">
            <w:pPr>
              <w:rPr>
                <w:color w:val="0D0D0D" w:themeColor="text1" w:themeTint="F2"/>
              </w:rPr>
            </w:pPr>
            <w:r w:rsidRPr="00083F72">
              <w:rPr>
                <w:color w:val="0D0D0D" w:themeColor="text1" w:themeTint="F2"/>
              </w:rPr>
              <w:t>24</w:t>
            </w:r>
          </w:p>
        </w:tc>
      </w:tr>
      <w:tr w:rsidR="00555F85" w:rsidRPr="00054335" w14:paraId="57C02EEA"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AB201F" w14:textId="77777777" w:rsidR="00555F85" w:rsidRPr="00083F72" w:rsidRDefault="00555F85" w:rsidP="00083F72">
            <w:pPr>
              <w:rPr>
                <w:color w:val="0D0D0D" w:themeColor="text1" w:themeTint="F2"/>
              </w:rPr>
            </w:pPr>
            <w:r w:rsidRPr="00083F72">
              <w:rPr>
                <w:color w:val="0D0D0D" w:themeColor="text1" w:themeTint="F2"/>
              </w:rPr>
              <w:t>Ulei vegetal pur (ulei produs din plante oleaginoase prin presare, extracție sau procedee comparabile, brut sau rafinat, dar nemodificat chimic)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FC26E4" w14:textId="77777777" w:rsidR="00555F85" w:rsidRPr="00083F72" w:rsidRDefault="00555F85" w:rsidP="00083F72">
            <w:pPr>
              <w:rPr>
                <w:color w:val="0D0D0D" w:themeColor="text1" w:themeTint="F2"/>
              </w:rPr>
            </w:pPr>
            <w:r w:rsidRPr="00083F72">
              <w:rPr>
                <w:color w:val="0D0D0D" w:themeColor="text1" w:themeTint="F2"/>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6CECAA" w14:textId="77777777" w:rsidR="00555F85" w:rsidRPr="00083F72" w:rsidRDefault="00555F85" w:rsidP="00083F72">
            <w:pPr>
              <w:rPr>
                <w:color w:val="0D0D0D" w:themeColor="text1" w:themeTint="F2"/>
              </w:rPr>
            </w:pPr>
            <w:r w:rsidRPr="00083F72">
              <w:rPr>
                <w:color w:val="0D0D0D" w:themeColor="text1" w:themeTint="F2"/>
              </w:rPr>
              <w:t>34</w:t>
            </w:r>
          </w:p>
        </w:tc>
      </w:tr>
      <w:tr w:rsidR="00555F85" w:rsidRPr="00054335" w14:paraId="77F3A90D"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D4BC46" w14:textId="77777777" w:rsidR="00555F85" w:rsidRPr="00083F72" w:rsidRDefault="00555F85" w:rsidP="00083F72">
            <w:pPr>
              <w:rPr>
                <w:color w:val="0D0D0D" w:themeColor="text1" w:themeTint="F2"/>
              </w:rPr>
            </w:pPr>
            <w:r w:rsidRPr="00083F72">
              <w:rPr>
                <w:color w:val="0D0D0D" w:themeColor="text1" w:themeTint="F2"/>
              </w:rPr>
              <w:t>Biomotorină – ester metilic al acizilor grași (ester metilic produs din ulei produs din biomasă)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47872C" w14:textId="77777777" w:rsidR="00555F85" w:rsidRPr="00083F72" w:rsidRDefault="00555F85" w:rsidP="00083F72">
            <w:pPr>
              <w:rPr>
                <w:color w:val="0D0D0D" w:themeColor="text1" w:themeTint="F2"/>
              </w:rPr>
            </w:pPr>
            <w:r w:rsidRPr="00083F72">
              <w:rPr>
                <w:color w:val="0D0D0D" w:themeColor="text1" w:themeTint="F2"/>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119703C" w14:textId="77777777" w:rsidR="00555F85" w:rsidRPr="00083F72" w:rsidRDefault="00555F85" w:rsidP="00083F72">
            <w:pPr>
              <w:rPr>
                <w:color w:val="0D0D0D" w:themeColor="text1" w:themeTint="F2"/>
              </w:rPr>
            </w:pPr>
            <w:r w:rsidRPr="00083F72">
              <w:rPr>
                <w:color w:val="0D0D0D" w:themeColor="text1" w:themeTint="F2"/>
              </w:rPr>
              <w:t>33</w:t>
            </w:r>
          </w:p>
        </w:tc>
      </w:tr>
      <w:tr w:rsidR="00555F85" w:rsidRPr="00054335" w14:paraId="15629071"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A95048" w14:textId="77777777" w:rsidR="00555F85" w:rsidRPr="00083F72" w:rsidRDefault="00555F85" w:rsidP="00083F72">
            <w:pPr>
              <w:rPr>
                <w:color w:val="0D0D0D" w:themeColor="text1" w:themeTint="F2"/>
              </w:rPr>
            </w:pPr>
            <w:r w:rsidRPr="00083F72">
              <w:rPr>
                <w:color w:val="0D0D0D" w:themeColor="text1" w:themeTint="F2"/>
              </w:rPr>
              <w:t>Biomotorină – ester etilic al acizilor grași (ester etilic produs din ulei produs din biomasă)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79BE09" w14:textId="77777777" w:rsidR="00555F85" w:rsidRPr="00083F72" w:rsidRDefault="00555F85" w:rsidP="00083F72">
            <w:pPr>
              <w:rPr>
                <w:color w:val="0D0D0D" w:themeColor="text1" w:themeTint="F2"/>
              </w:rPr>
            </w:pPr>
            <w:r w:rsidRPr="00083F72">
              <w:rPr>
                <w:color w:val="0D0D0D" w:themeColor="text1" w:themeTint="F2"/>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7C3DFB" w14:textId="77777777" w:rsidR="00555F85" w:rsidRPr="00083F72" w:rsidRDefault="00555F85" w:rsidP="00083F72">
            <w:pPr>
              <w:rPr>
                <w:color w:val="0D0D0D" w:themeColor="text1" w:themeTint="F2"/>
              </w:rPr>
            </w:pPr>
            <w:r w:rsidRPr="00083F72">
              <w:rPr>
                <w:color w:val="0D0D0D" w:themeColor="text1" w:themeTint="F2"/>
              </w:rPr>
              <w:t>34</w:t>
            </w:r>
          </w:p>
        </w:tc>
      </w:tr>
      <w:tr w:rsidR="00555F85" w:rsidRPr="00054335" w14:paraId="754C6C4E"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4BF2C1" w14:textId="77777777" w:rsidR="00555F85" w:rsidRPr="00083F72" w:rsidRDefault="00555F85" w:rsidP="00083F72">
            <w:pPr>
              <w:rPr>
                <w:color w:val="0D0D0D" w:themeColor="text1" w:themeTint="F2"/>
              </w:rPr>
            </w:pPr>
            <w:r w:rsidRPr="00083F72">
              <w:rPr>
                <w:color w:val="0D0D0D" w:themeColor="text1" w:themeTint="F2"/>
              </w:rPr>
              <w:lastRenderedPageBreak/>
              <w:t>Biogaz care se poate purifica pentru a obține calitatea gazelor naturale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AC9653" w14:textId="77777777" w:rsidR="00555F85" w:rsidRPr="00083F72" w:rsidRDefault="00555F85" w:rsidP="00083F72">
            <w:pPr>
              <w:rPr>
                <w:color w:val="0D0D0D" w:themeColor="text1" w:themeTint="F2"/>
              </w:rPr>
            </w:pPr>
            <w:r w:rsidRPr="00083F72">
              <w:rPr>
                <w:color w:val="0D0D0D" w:themeColor="text1" w:themeTint="F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0FE18B" w14:textId="77777777" w:rsidR="00555F85" w:rsidRPr="00083F72" w:rsidRDefault="00555F85" w:rsidP="00083F72">
            <w:pPr>
              <w:rPr>
                <w:color w:val="0D0D0D" w:themeColor="text1" w:themeTint="F2"/>
              </w:rPr>
            </w:pPr>
            <w:r w:rsidRPr="00083F72">
              <w:rPr>
                <w:color w:val="0D0D0D" w:themeColor="text1" w:themeTint="F2"/>
              </w:rPr>
              <w:t>—</w:t>
            </w:r>
          </w:p>
        </w:tc>
      </w:tr>
      <w:tr w:rsidR="00555F85" w:rsidRPr="00054335" w14:paraId="0D18E39A"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E3F23C" w14:textId="77777777" w:rsidR="00555F85" w:rsidRPr="00083F72" w:rsidRDefault="00555F85" w:rsidP="00083F72">
            <w:pPr>
              <w:rPr>
                <w:color w:val="0D0D0D" w:themeColor="text1" w:themeTint="F2"/>
              </w:rPr>
            </w:pPr>
            <w:r w:rsidRPr="00083F72">
              <w:rPr>
                <w:color w:val="0D0D0D" w:themeColor="text1" w:themeTint="F2"/>
              </w:rPr>
              <w:t>Ulei hidrotratat (tratat termochimic cu hidrogen) produs din biomasă, destinat a fi folosit la înlocuirea motorinei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D0B20D" w14:textId="77777777" w:rsidR="00555F85" w:rsidRPr="00083F72" w:rsidRDefault="00555F85" w:rsidP="00083F72">
            <w:pPr>
              <w:rPr>
                <w:color w:val="0D0D0D" w:themeColor="text1" w:themeTint="F2"/>
              </w:rPr>
            </w:pPr>
            <w:r w:rsidRPr="00083F72">
              <w:rPr>
                <w:color w:val="0D0D0D" w:themeColor="text1" w:themeTint="F2"/>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4B76C8" w14:textId="77777777" w:rsidR="00555F85" w:rsidRPr="00083F72" w:rsidRDefault="00555F85" w:rsidP="00083F72">
            <w:pPr>
              <w:rPr>
                <w:color w:val="0D0D0D" w:themeColor="text1" w:themeTint="F2"/>
              </w:rPr>
            </w:pPr>
            <w:r w:rsidRPr="00083F72">
              <w:rPr>
                <w:color w:val="0D0D0D" w:themeColor="text1" w:themeTint="F2"/>
              </w:rPr>
              <w:t>34</w:t>
            </w:r>
          </w:p>
        </w:tc>
      </w:tr>
      <w:tr w:rsidR="00555F85" w:rsidRPr="00054335" w14:paraId="23A9913E"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E031B0" w14:textId="77777777" w:rsidR="00555F85" w:rsidRPr="00083F72" w:rsidRDefault="00555F85" w:rsidP="00083F72">
            <w:pPr>
              <w:rPr>
                <w:color w:val="0D0D0D" w:themeColor="text1" w:themeTint="F2"/>
              </w:rPr>
            </w:pPr>
            <w:r w:rsidRPr="00083F72">
              <w:rPr>
                <w:color w:val="0D0D0D" w:themeColor="text1" w:themeTint="F2"/>
              </w:rPr>
              <w:t>Ulei hidrotratat (tratat termochimic cu hidrogen) produs din biomasă, destinat a fi folosit la înlocuirea benzinei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DEDCE4" w14:textId="77777777" w:rsidR="00555F85" w:rsidRPr="00083F72" w:rsidRDefault="00555F85" w:rsidP="00083F72">
            <w:pPr>
              <w:rPr>
                <w:color w:val="0D0D0D" w:themeColor="text1" w:themeTint="F2"/>
              </w:rPr>
            </w:pPr>
            <w:r w:rsidRPr="00083F72">
              <w:rPr>
                <w:color w:val="0D0D0D" w:themeColor="text1" w:themeTint="F2"/>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CCFA43" w14:textId="77777777" w:rsidR="00555F85" w:rsidRPr="00083F72" w:rsidRDefault="00555F85" w:rsidP="00083F72">
            <w:pPr>
              <w:rPr>
                <w:color w:val="0D0D0D" w:themeColor="text1" w:themeTint="F2"/>
              </w:rPr>
            </w:pPr>
            <w:r w:rsidRPr="00083F72">
              <w:rPr>
                <w:color w:val="0D0D0D" w:themeColor="text1" w:themeTint="F2"/>
              </w:rPr>
              <w:t>30</w:t>
            </w:r>
          </w:p>
        </w:tc>
      </w:tr>
      <w:tr w:rsidR="00555F85" w:rsidRPr="00054335" w14:paraId="6F2FCB56"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35B424" w14:textId="77777777" w:rsidR="00555F85" w:rsidRPr="00083F72" w:rsidRDefault="00555F85" w:rsidP="00083F72">
            <w:pPr>
              <w:rPr>
                <w:color w:val="0D0D0D" w:themeColor="text1" w:themeTint="F2"/>
              </w:rPr>
            </w:pPr>
            <w:r w:rsidRPr="00083F72">
              <w:rPr>
                <w:color w:val="0D0D0D" w:themeColor="text1" w:themeTint="F2"/>
              </w:rPr>
              <w:t>Ulei hidrotratat (tratat termochimic cu hidrogen) produs din biomasă, destinat a fi folosit la înlocuirea combustibilului pentru avioane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4CA0E6" w14:textId="77777777" w:rsidR="00555F85" w:rsidRPr="00083F72" w:rsidRDefault="00555F85" w:rsidP="00083F72">
            <w:pPr>
              <w:rPr>
                <w:color w:val="0D0D0D" w:themeColor="text1" w:themeTint="F2"/>
              </w:rPr>
            </w:pPr>
            <w:r w:rsidRPr="00083F72">
              <w:rPr>
                <w:color w:val="0D0D0D" w:themeColor="text1" w:themeTint="F2"/>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C5468A" w14:textId="77777777" w:rsidR="00555F85" w:rsidRPr="00083F72" w:rsidRDefault="00555F85" w:rsidP="00083F72">
            <w:pPr>
              <w:rPr>
                <w:color w:val="0D0D0D" w:themeColor="text1" w:themeTint="F2"/>
              </w:rPr>
            </w:pPr>
            <w:r w:rsidRPr="00083F72">
              <w:rPr>
                <w:color w:val="0D0D0D" w:themeColor="text1" w:themeTint="F2"/>
              </w:rPr>
              <w:t>34</w:t>
            </w:r>
          </w:p>
        </w:tc>
      </w:tr>
      <w:tr w:rsidR="00555F85" w:rsidRPr="00054335" w14:paraId="78DB06E9"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988CB8" w14:textId="77777777" w:rsidR="00555F85" w:rsidRPr="00083F72" w:rsidRDefault="00555F85" w:rsidP="00083F72">
            <w:pPr>
              <w:rPr>
                <w:color w:val="0D0D0D" w:themeColor="text1" w:themeTint="F2"/>
              </w:rPr>
            </w:pPr>
            <w:r w:rsidRPr="00083F72">
              <w:rPr>
                <w:color w:val="0D0D0D" w:themeColor="text1" w:themeTint="F2"/>
              </w:rPr>
              <w:t>Ulei hidrotratat (tratat termochimic cu hidrogen) produs din biomasă, destinat a fi folosit la înlocuirea gazului petrolier lichefiat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5B26AA" w14:textId="77777777" w:rsidR="00555F85" w:rsidRPr="00083F72" w:rsidRDefault="00555F85" w:rsidP="00083F72">
            <w:pPr>
              <w:rPr>
                <w:color w:val="0D0D0D" w:themeColor="text1" w:themeTint="F2"/>
              </w:rPr>
            </w:pPr>
            <w:r w:rsidRPr="00083F72">
              <w:rPr>
                <w:color w:val="0D0D0D" w:themeColor="text1" w:themeTint="F2"/>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E72DF7" w14:textId="77777777" w:rsidR="00555F85" w:rsidRPr="00083F72" w:rsidRDefault="00555F85" w:rsidP="00083F72">
            <w:pPr>
              <w:rPr>
                <w:color w:val="0D0D0D" w:themeColor="text1" w:themeTint="F2"/>
              </w:rPr>
            </w:pPr>
            <w:r w:rsidRPr="00083F72">
              <w:rPr>
                <w:color w:val="0D0D0D" w:themeColor="text1" w:themeTint="F2"/>
              </w:rPr>
              <w:t>24</w:t>
            </w:r>
          </w:p>
        </w:tc>
      </w:tr>
      <w:tr w:rsidR="00555F85" w:rsidRPr="00054335" w14:paraId="2E765EFF"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A522F7" w14:textId="77777777" w:rsidR="00555F85" w:rsidRPr="00083F72" w:rsidRDefault="00555F85" w:rsidP="00083F72">
            <w:pPr>
              <w:rPr>
                <w:color w:val="0D0D0D" w:themeColor="text1" w:themeTint="F2"/>
              </w:rPr>
            </w:pPr>
            <w:r w:rsidRPr="00083F72">
              <w:rPr>
                <w:color w:val="0D0D0D" w:themeColor="text1" w:themeTint="F2"/>
              </w:rPr>
              <w:t>Ulei coprelucrat (prelucrat într-o rafinărie simultan cu combustibili fosili) produs din biomasă sau biomasă supusă pirolizei, destinat a fi folosit la înlocuirea motorinei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B3B1D32" w14:textId="77777777" w:rsidR="00555F85" w:rsidRPr="00083F72" w:rsidRDefault="00555F85" w:rsidP="00083F72">
            <w:pPr>
              <w:rPr>
                <w:color w:val="0D0D0D" w:themeColor="text1" w:themeTint="F2"/>
              </w:rPr>
            </w:pPr>
            <w:r w:rsidRPr="00083F72">
              <w:rPr>
                <w:color w:val="0D0D0D" w:themeColor="text1" w:themeTint="F2"/>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DBDB3D" w14:textId="77777777" w:rsidR="00555F85" w:rsidRPr="00083F72" w:rsidRDefault="00555F85" w:rsidP="00083F72">
            <w:pPr>
              <w:rPr>
                <w:color w:val="0D0D0D" w:themeColor="text1" w:themeTint="F2"/>
              </w:rPr>
            </w:pPr>
            <w:r w:rsidRPr="00083F72">
              <w:rPr>
                <w:color w:val="0D0D0D" w:themeColor="text1" w:themeTint="F2"/>
              </w:rPr>
              <w:t>36</w:t>
            </w:r>
          </w:p>
        </w:tc>
      </w:tr>
      <w:tr w:rsidR="00555F85" w:rsidRPr="00054335" w14:paraId="7C13DF22"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271A15" w14:textId="77777777" w:rsidR="00555F85" w:rsidRPr="00083F72" w:rsidRDefault="00555F85" w:rsidP="00083F72">
            <w:pPr>
              <w:rPr>
                <w:color w:val="0D0D0D" w:themeColor="text1" w:themeTint="F2"/>
              </w:rPr>
            </w:pPr>
            <w:r w:rsidRPr="00083F72">
              <w:rPr>
                <w:color w:val="0D0D0D" w:themeColor="text1" w:themeTint="F2"/>
              </w:rPr>
              <w:t>Ulei coprelucrat (prelucrat într-o rafinărie simultan cu combustibili fosili) produs din biomasă sau biomasă supusă pirolizei, destinat a fi folosit la înlocuirea benzinei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204903" w14:textId="77777777" w:rsidR="00555F85" w:rsidRPr="00083F72" w:rsidRDefault="00555F85" w:rsidP="00083F72">
            <w:pPr>
              <w:rPr>
                <w:color w:val="0D0D0D" w:themeColor="text1" w:themeTint="F2"/>
              </w:rPr>
            </w:pPr>
            <w:r w:rsidRPr="00083F72">
              <w:rPr>
                <w:color w:val="0D0D0D" w:themeColor="text1" w:themeTint="F2"/>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9DA01A" w14:textId="77777777" w:rsidR="00555F85" w:rsidRPr="00083F72" w:rsidRDefault="00555F85" w:rsidP="00083F72">
            <w:pPr>
              <w:rPr>
                <w:color w:val="0D0D0D" w:themeColor="text1" w:themeTint="F2"/>
              </w:rPr>
            </w:pPr>
            <w:r w:rsidRPr="00083F72">
              <w:rPr>
                <w:color w:val="0D0D0D" w:themeColor="text1" w:themeTint="F2"/>
              </w:rPr>
              <w:t>32</w:t>
            </w:r>
          </w:p>
        </w:tc>
      </w:tr>
      <w:tr w:rsidR="00555F85" w:rsidRPr="00054335" w14:paraId="43C2498F"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640574" w14:textId="77777777" w:rsidR="00555F85" w:rsidRPr="00083F72" w:rsidRDefault="00555F85" w:rsidP="00083F72">
            <w:pPr>
              <w:rPr>
                <w:color w:val="0D0D0D" w:themeColor="text1" w:themeTint="F2"/>
              </w:rPr>
            </w:pPr>
            <w:r w:rsidRPr="00083F72">
              <w:rPr>
                <w:color w:val="0D0D0D" w:themeColor="text1" w:themeTint="F2"/>
              </w:rPr>
              <w:t>Ulei coprelucrat (prelucrat într-o rafinărie simultan cu combustibili fosili) produs din biomasă sau biomasă supusă pirolizei, destinat a fi folosit la înlocuirea combustibilului pentru avioane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31EE69" w14:textId="77777777" w:rsidR="00555F85" w:rsidRPr="00083F72" w:rsidRDefault="00555F85" w:rsidP="00083F72">
            <w:pPr>
              <w:rPr>
                <w:color w:val="0D0D0D" w:themeColor="text1" w:themeTint="F2"/>
              </w:rPr>
            </w:pPr>
            <w:r w:rsidRPr="00083F72">
              <w:rPr>
                <w:color w:val="0D0D0D" w:themeColor="text1" w:themeTint="F2"/>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93FF9F" w14:textId="77777777" w:rsidR="00555F85" w:rsidRPr="00083F72" w:rsidRDefault="00555F85" w:rsidP="00083F72">
            <w:pPr>
              <w:rPr>
                <w:color w:val="0D0D0D" w:themeColor="text1" w:themeTint="F2"/>
              </w:rPr>
            </w:pPr>
            <w:r w:rsidRPr="00083F72">
              <w:rPr>
                <w:color w:val="0D0D0D" w:themeColor="text1" w:themeTint="F2"/>
              </w:rPr>
              <w:t>33</w:t>
            </w:r>
          </w:p>
        </w:tc>
      </w:tr>
      <w:tr w:rsidR="00555F85" w:rsidRPr="00054335" w14:paraId="0196FDBE"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8CC1C7" w14:textId="77777777" w:rsidR="00555F85" w:rsidRPr="00083F72" w:rsidRDefault="00555F85" w:rsidP="00083F72">
            <w:pPr>
              <w:rPr>
                <w:color w:val="0D0D0D" w:themeColor="text1" w:themeTint="F2"/>
              </w:rPr>
            </w:pPr>
            <w:r w:rsidRPr="00083F72">
              <w:rPr>
                <w:color w:val="0D0D0D" w:themeColor="text1" w:themeTint="F2"/>
              </w:rPr>
              <w:t>Ulei coprelucrat (prelucrat într-o rafinărie simultan cu combustibili fosili) produs din biomasă sau biomasă supusă pirolizei, destinat a fi folosit la înlocuirea gazului petrolier lichefiat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F2A611" w14:textId="77777777" w:rsidR="00555F85" w:rsidRPr="00083F72" w:rsidRDefault="00555F85" w:rsidP="00083F72">
            <w:pPr>
              <w:rPr>
                <w:color w:val="0D0D0D" w:themeColor="text1" w:themeTint="F2"/>
              </w:rPr>
            </w:pPr>
            <w:r w:rsidRPr="00083F72">
              <w:rPr>
                <w:color w:val="0D0D0D" w:themeColor="text1" w:themeTint="F2"/>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D9AB8C" w14:textId="77777777" w:rsidR="00555F85" w:rsidRPr="00083F72" w:rsidRDefault="00555F85" w:rsidP="00083F72">
            <w:pPr>
              <w:rPr>
                <w:color w:val="0D0D0D" w:themeColor="text1" w:themeTint="F2"/>
              </w:rPr>
            </w:pPr>
            <w:r w:rsidRPr="00083F72">
              <w:rPr>
                <w:color w:val="0D0D0D" w:themeColor="text1" w:themeTint="F2"/>
              </w:rPr>
              <w:t>23</w:t>
            </w:r>
          </w:p>
        </w:tc>
      </w:tr>
      <w:tr w:rsidR="00555F85" w:rsidRPr="00054335" w14:paraId="3A68406E"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911A5F" w14:textId="77777777" w:rsidR="00555F85" w:rsidRPr="00083F72" w:rsidRDefault="00555F85" w:rsidP="00083F72">
            <w:pPr>
              <w:rPr>
                <w:color w:val="0D0D0D" w:themeColor="text1" w:themeTint="F2"/>
              </w:rPr>
            </w:pPr>
            <w:r w:rsidRPr="00083F72">
              <w:rPr>
                <w:color w:val="0D0D0D" w:themeColor="text1" w:themeTint="F2"/>
              </w:rPr>
              <w:t>COMBUSTIBILI DIN SURSE REGENERABILE CARE POT FI PRODUȘI DIN DIFERITE SURSE REGENERABILE, INCLUSIV BIOMASĂ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AD78C5" w14:textId="77777777" w:rsidR="00555F85" w:rsidRPr="00083F72" w:rsidRDefault="00555F85" w:rsidP="00083F72">
            <w:pPr>
              <w:rPr>
                <w:color w:val="0D0D0D" w:themeColor="text1" w:themeTint="F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FEDCC5" w14:textId="77777777" w:rsidR="00555F85" w:rsidRPr="00083F72" w:rsidRDefault="00555F85" w:rsidP="00083F72">
            <w:pPr>
              <w:rPr>
                <w:color w:val="0D0D0D" w:themeColor="text1" w:themeTint="F2"/>
              </w:rPr>
            </w:pPr>
          </w:p>
        </w:tc>
      </w:tr>
      <w:tr w:rsidR="00555F85" w:rsidRPr="00054335" w14:paraId="1D6B9F26"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7C8970" w14:textId="77777777" w:rsidR="00555F85" w:rsidRPr="00083F72" w:rsidRDefault="00555F85" w:rsidP="00083F72">
            <w:pPr>
              <w:rPr>
                <w:color w:val="0D0D0D" w:themeColor="text1" w:themeTint="F2"/>
              </w:rPr>
            </w:pPr>
            <w:r w:rsidRPr="00083F72">
              <w:rPr>
                <w:color w:val="0D0D0D" w:themeColor="text1" w:themeTint="F2"/>
              </w:rPr>
              <w:t>Metanol din surse 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B1607B" w14:textId="77777777" w:rsidR="00555F85" w:rsidRPr="00083F72" w:rsidRDefault="00555F85" w:rsidP="00083F72">
            <w:pPr>
              <w:rPr>
                <w:color w:val="0D0D0D" w:themeColor="text1" w:themeTint="F2"/>
              </w:rPr>
            </w:pPr>
            <w:r w:rsidRPr="00083F72">
              <w:rPr>
                <w:color w:val="0D0D0D" w:themeColor="text1" w:themeTint="F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CF43E0" w14:textId="77777777" w:rsidR="00555F85" w:rsidRPr="00083F72" w:rsidRDefault="00555F85" w:rsidP="00083F72">
            <w:pPr>
              <w:rPr>
                <w:color w:val="0D0D0D" w:themeColor="text1" w:themeTint="F2"/>
              </w:rPr>
            </w:pPr>
            <w:r w:rsidRPr="00083F72">
              <w:rPr>
                <w:color w:val="0D0D0D" w:themeColor="text1" w:themeTint="F2"/>
              </w:rPr>
              <w:t>16</w:t>
            </w:r>
          </w:p>
        </w:tc>
      </w:tr>
      <w:tr w:rsidR="00555F85" w:rsidRPr="00054335" w14:paraId="6CC845E8"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C5462D" w14:textId="77777777" w:rsidR="00555F85" w:rsidRPr="00083F72" w:rsidRDefault="00555F85" w:rsidP="00083F72">
            <w:pPr>
              <w:rPr>
                <w:color w:val="0D0D0D" w:themeColor="text1" w:themeTint="F2"/>
              </w:rPr>
            </w:pPr>
            <w:r w:rsidRPr="00083F72">
              <w:rPr>
                <w:color w:val="0D0D0D" w:themeColor="text1" w:themeTint="F2"/>
              </w:rPr>
              <w:t>Etanol din surse 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22103A" w14:textId="77777777" w:rsidR="00555F85" w:rsidRPr="00083F72" w:rsidRDefault="00555F85" w:rsidP="00083F72">
            <w:pPr>
              <w:rPr>
                <w:color w:val="0D0D0D" w:themeColor="text1" w:themeTint="F2"/>
              </w:rPr>
            </w:pPr>
            <w:r w:rsidRPr="00083F72">
              <w:rPr>
                <w:color w:val="0D0D0D" w:themeColor="text1" w:themeTint="F2"/>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D55FC8" w14:textId="77777777" w:rsidR="00555F85" w:rsidRPr="00083F72" w:rsidRDefault="00555F85" w:rsidP="00083F72">
            <w:pPr>
              <w:rPr>
                <w:color w:val="0D0D0D" w:themeColor="text1" w:themeTint="F2"/>
              </w:rPr>
            </w:pPr>
            <w:r w:rsidRPr="00083F72">
              <w:rPr>
                <w:color w:val="0D0D0D" w:themeColor="text1" w:themeTint="F2"/>
              </w:rPr>
              <w:t>21</w:t>
            </w:r>
          </w:p>
        </w:tc>
      </w:tr>
      <w:tr w:rsidR="00555F85" w:rsidRPr="00054335" w14:paraId="5B860B69"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2ED5B5" w14:textId="77777777" w:rsidR="00555F85" w:rsidRPr="00083F72" w:rsidRDefault="00555F85" w:rsidP="00083F72">
            <w:pPr>
              <w:rPr>
                <w:color w:val="0D0D0D" w:themeColor="text1" w:themeTint="F2"/>
              </w:rPr>
            </w:pPr>
            <w:r w:rsidRPr="00083F72">
              <w:rPr>
                <w:color w:val="0D0D0D" w:themeColor="text1" w:themeTint="F2"/>
              </w:rPr>
              <w:t>Propanol din surse 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C9677B" w14:textId="77777777" w:rsidR="00555F85" w:rsidRPr="00083F72" w:rsidRDefault="00555F85" w:rsidP="00083F72">
            <w:pPr>
              <w:rPr>
                <w:color w:val="0D0D0D" w:themeColor="text1" w:themeTint="F2"/>
              </w:rPr>
            </w:pPr>
            <w:r w:rsidRPr="00083F72">
              <w:rPr>
                <w:color w:val="0D0D0D" w:themeColor="text1" w:themeTint="F2"/>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93B4A6" w14:textId="77777777" w:rsidR="00555F85" w:rsidRPr="00083F72" w:rsidRDefault="00555F85" w:rsidP="00083F72">
            <w:pPr>
              <w:rPr>
                <w:color w:val="0D0D0D" w:themeColor="text1" w:themeTint="F2"/>
              </w:rPr>
            </w:pPr>
            <w:r w:rsidRPr="00083F72">
              <w:rPr>
                <w:color w:val="0D0D0D" w:themeColor="text1" w:themeTint="F2"/>
              </w:rPr>
              <w:t>25</w:t>
            </w:r>
          </w:p>
        </w:tc>
      </w:tr>
      <w:tr w:rsidR="00555F85" w:rsidRPr="00054335" w14:paraId="25017BA8"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70A372" w14:textId="77777777" w:rsidR="00555F85" w:rsidRPr="00083F72" w:rsidRDefault="00555F85" w:rsidP="00083F72">
            <w:pPr>
              <w:rPr>
                <w:color w:val="0D0D0D" w:themeColor="text1" w:themeTint="F2"/>
              </w:rPr>
            </w:pPr>
            <w:r w:rsidRPr="00083F72">
              <w:rPr>
                <w:color w:val="0D0D0D" w:themeColor="text1" w:themeTint="F2"/>
              </w:rPr>
              <w:t>Butanol din surse 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3B2042" w14:textId="77777777" w:rsidR="00555F85" w:rsidRPr="00083F72" w:rsidRDefault="00555F85" w:rsidP="00083F72">
            <w:pPr>
              <w:rPr>
                <w:color w:val="0D0D0D" w:themeColor="text1" w:themeTint="F2"/>
              </w:rPr>
            </w:pPr>
            <w:r w:rsidRPr="00083F72">
              <w:rPr>
                <w:color w:val="0D0D0D" w:themeColor="text1" w:themeTint="F2"/>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5167A2" w14:textId="77777777" w:rsidR="00555F85" w:rsidRPr="00083F72" w:rsidRDefault="00555F85" w:rsidP="00083F72">
            <w:pPr>
              <w:rPr>
                <w:color w:val="0D0D0D" w:themeColor="text1" w:themeTint="F2"/>
              </w:rPr>
            </w:pPr>
            <w:r w:rsidRPr="00083F72">
              <w:rPr>
                <w:color w:val="0D0D0D" w:themeColor="text1" w:themeTint="F2"/>
              </w:rPr>
              <w:t>27</w:t>
            </w:r>
          </w:p>
        </w:tc>
      </w:tr>
      <w:tr w:rsidR="00555F85" w:rsidRPr="00054335" w14:paraId="51F7883C"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F1B2A6" w14:textId="77777777" w:rsidR="00555F85" w:rsidRPr="00083F72" w:rsidRDefault="00555F85" w:rsidP="00083F72">
            <w:pPr>
              <w:rPr>
                <w:color w:val="0D0D0D" w:themeColor="text1" w:themeTint="F2"/>
              </w:rPr>
            </w:pPr>
            <w:r w:rsidRPr="00083F72">
              <w:rPr>
                <w:color w:val="0D0D0D" w:themeColor="text1" w:themeTint="F2"/>
              </w:rPr>
              <w:lastRenderedPageBreak/>
              <w:t>Motorină Fischer-Tropsch (hidrocarbură sintetică sau amestec de hidrocarburi sintetice destinat a fi folosit la înlocuirea motorinei)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5F6340" w14:textId="77777777" w:rsidR="00555F85" w:rsidRPr="00083F72" w:rsidRDefault="00555F85" w:rsidP="00083F72">
            <w:pPr>
              <w:rPr>
                <w:color w:val="0D0D0D" w:themeColor="text1" w:themeTint="F2"/>
              </w:rPr>
            </w:pPr>
            <w:r w:rsidRPr="00083F72">
              <w:rPr>
                <w:color w:val="0D0D0D" w:themeColor="text1" w:themeTint="F2"/>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16F32AA" w14:textId="77777777" w:rsidR="00555F85" w:rsidRPr="00083F72" w:rsidRDefault="00555F85" w:rsidP="00083F72">
            <w:pPr>
              <w:rPr>
                <w:color w:val="0D0D0D" w:themeColor="text1" w:themeTint="F2"/>
              </w:rPr>
            </w:pPr>
            <w:r w:rsidRPr="00083F72">
              <w:rPr>
                <w:color w:val="0D0D0D" w:themeColor="text1" w:themeTint="F2"/>
              </w:rPr>
              <w:t>34</w:t>
            </w:r>
          </w:p>
        </w:tc>
      </w:tr>
      <w:tr w:rsidR="00555F85" w:rsidRPr="00054335" w14:paraId="270E2E36"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3255F7" w14:textId="77777777" w:rsidR="00555F85" w:rsidRPr="00083F72" w:rsidRDefault="00555F85" w:rsidP="00083F72">
            <w:pPr>
              <w:rPr>
                <w:color w:val="0D0D0D" w:themeColor="text1" w:themeTint="F2"/>
              </w:rPr>
            </w:pPr>
            <w:r w:rsidRPr="00083F72">
              <w:rPr>
                <w:color w:val="0D0D0D" w:themeColor="text1" w:themeTint="F2"/>
              </w:rPr>
              <w:t>Benzină Fischer-Tropsch (hidrocarbură sintetică sau amestec de hidrocarburi sintetice produs din biomasă, destinat a fi folosit la înlocuirea benzinei)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18BB59" w14:textId="77777777" w:rsidR="00555F85" w:rsidRPr="00083F72" w:rsidRDefault="00555F85" w:rsidP="00083F72">
            <w:pPr>
              <w:rPr>
                <w:color w:val="0D0D0D" w:themeColor="text1" w:themeTint="F2"/>
              </w:rPr>
            </w:pPr>
            <w:r w:rsidRPr="00083F72">
              <w:rPr>
                <w:color w:val="0D0D0D" w:themeColor="text1" w:themeTint="F2"/>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D81E46" w14:textId="77777777" w:rsidR="00555F85" w:rsidRPr="00083F72" w:rsidRDefault="00555F85" w:rsidP="00083F72">
            <w:pPr>
              <w:rPr>
                <w:color w:val="0D0D0D" w:themeColor="text1" w:themeTint="F2"/>
              </w:rPr>
            </w:pPr>
            <w:r w:rsidRPr="00083F72">
              <w:rPr>
                <w:color w:val="0D0D0D" w:themeColor="text1" w:themeTint="F2"/>
              </w:rPr>
              <w:t>33</w:t>
            </w:r>
          </w:p>
        </w:tc>
      </w:tr>
      <w:tr w:rsidR="00555F85" w:rsidRPr="00054335" w14:paraId="4C71FDF0"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0F8BBB" w14:textId="77777777" w:rsidR="00555F85" w:rsidRPr="00083F72" w:rsidRDefault="00555F85" w:rsidP="00083F72">
            <w:pPr>
              <w:rPr>
                <w:color w:val="0D0D0D" w:themeColor="text1" w:themeTint="F2"/>
              </w:rPr>
            </w:pPr>
            <w:r w:rsidRPr="00083F72">
              <w:rPr>
                <w:color w:val="0D0D0D" w:themeColor="text1" w:themeTint="F2"/>
              </w:rPr>
              <w:t>Combustibil pentru avioane Fischer-Tropsch (hidrocarbură sintetică sau amestec de hidrocarburi sintetice produs din biomasă, destinat a fi folosit la înlocuirea combustibilului pentru avioane)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707506" w14:textId="77777777" w:rsidR="00555F85" w:rsidRPr="00083F72" w:rsidRDefault="00555F85" w:rsidP="00083F72">
            <w:pPr>
              <w:rPr>
                <w:color w:val="0D0D0D" w:themeColor="text1" w:themeTint="F2"/>
              </w:rPr>
            </w:pPr>
            <w:r w:rsidRPr="00083F72">
              <w:rPr>
                <w:color w:val="0D0D0D" w:themeColor="text1" w:themeTint="F2"/>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465D31" w14:textId="77777777" w:rsidR="00555F85" w:rsidRPr="00083F72" w:rsidRDefault="00555F85" w:rsidP="00083F72">
            <w:pPr>
              <w:rPr>
                <w:color w:val="0D0D0D" w:themeColor="text1" w:themeTint="F2"/>
              </w:rPr>
            </w:pPr>
            <w:r w:rsidRPr="00083F72">
              <w:rPr>
                <w:color w:val="0D0D0D" w:themeColor="text1" w:themeTint="F2"/>
              </w:rPr>
              <w:t>33</w:t>
            </w:r>
          </w:p>
        </w:tc>
      </w:tr>
      <w:tr w:rsidR="00555F85" w:rsidRPr="00054335" w14:paraId="0F5EEED4"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27B18F" w14:textId="77777777" w:rsidR="00555F85" w:rsidRPr="00083F72" w:rsidRDefault="00555F85" w:rsidP="00083F72">
            <w:pPr>
              <w:rPr>
                <w:color w:val="0D0D0D" w:themeColor="text1" w:themeTint="F2"/>
              </w:rPr>
            </w:pPr>
            <w:r w:rsidRPr="00083F72">
              <w:rPr>
                <w:color w:val="0D0D0D" w:themeColor="text1" w:themeTint="F2"/>
              </w:rPr>
              <w:t>Gaz petrolier lichefiat Fischer-Tropsch (hidrocarbură sintetică sau amestec de hidrocarburi sintetice destinat a fi folosit la înlocuirea gazului petrolier lichefiat)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D39ED5" w14:textId="77777777" w:rsidR="00555F85" w:rsidRPr="00083F72" w:rsidRDefault="00555F85" w:rsidP="00083F72">
            <w:pPr>
              <w:rPr>
                <w:color w:val="0D0D0D" w:themeColor="text1" w:themeTint="F2"/>
              </w:rPr>
            </w:pPr>
            <w:r w:rsidRPr="00083F72">
              <w:rPr>
                <w:color w:val="0D0D0D" w:themeColor="text1" w:themeTint="F2"/>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8109BA" w14:textId="77777777" w:rsidR="00555F85" w:rsidRPr="00083F72" w:rsidRDefault="00555F85" w:rsidP="00083F72">
            <w:pPr>
              <w:rPr>
                <w:color w:val="0D0D0D" w:themeColor="text1" w:themeTint="F2"/>
              </w:rPr>
            </w:pPr>
            <w:r w:rsidRPr="00083F72">
              <w:rPr>
                <w:color w:val="0D0D0D" w:themeColor="text1" w:themeTint="F2"/>
              </w:rPr>
              <w:t>24</w:t>
            </w:r>
          </w:p>
        </w:tc>
      </w:tr>
      <w:tr w:rsidR="00555F85" w:rsidRPr="00054335" w14:paraId="5C2F44AB"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FCEEB7" w14:textId="77777777" w:rsidR="00555F85" w:rsidRPr="00083F72" w:rsidRDefault="00555F85" w:rsidP="00083F72">
            <w:pPr>
              <w:rPr>
                <w:color w:val="0D0D0D" w:themeColor="text1" w:themeTint="F2"/>
              </w:rPr>
            </w:pPr>
            <w:r w:rsidRPr="00083F72">
              <w:rPr>
                <w:color w:val="0D0D0D" w:themeColor="text1" w:themeTint="F2"/>
              </w:rPr>
              <w:t>DME (dimetileter)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5EC90F" w14:textId="77777777" w:rsidR="00555F85" w:rsidRPr="00083F72" w:rsidRDefault="00555F85" w:rsidP="00083F72">
            <w:pPr>
              <w:rPr>
                <w:color w:val="0D0D0D" w:themeColor="text1" w:themeTint="F2"/>
              </w:rPr>
            </w:pPr>
            <w:r w:rsidRPr="00083F72">
              <w:rPr>
                <w:color w:val="0D0D0D" w:themeColor="text1" w:themeTint="F2"/>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54117A" w14:textId="77777777" w:rsidR="00555F85" w:rsidRPr="00083F72" w:rsidRDefault="00555F85" w:rsidP="00083F72">
            <w:pPr>
              <w:rPr>
                <w:color w:val="0D0D0D" w:themeColor="text1" w:themeTint="F2"/>
              </w:rPr>
            </w:pPr>
            <w:r w:rsidRPr="00083F72">
              <w:rPr>
                <w:color w:val="0D0D0D" w:themeColor="text1" w:themeTint="F2"/>
              </w:rPr>
              <w:t>19</w:t>
            </w:r>
          </w:p>
        </w:tc>
      </w:tr>
      <w:tr w:rsidR="00555F85" w:rsidRPr="00054335" w14:paraId="1D77A683"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6A3BAD" w14:textId="77777777" w:rsidR="00555F85" w:rsidRPr="00083F72" w:rsidRDefault="00555F85" w:rsidP="00083F72">
            <w:pPr>
              <w:rPr>
                <w:color w:val="0D0D0D" w:themeColor="text1" w:themeTint="F2"/>
              </w:rPr>
            </w:pPr>
            <w:r w:rsidRPr="00083F72">
              <w:rPr>
                <w:color w:val="0D0D0D" w:themeColor="text1" w:themeTint="F2"/>
              </w:rPr>
              <w:t>Hidrogen din surse 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801060" w14:textId="77777777" w:rsidR="00555F85" w:rsidRPr="00083F72" w:rsidRDefault="00555F85" w:rsidP="00083F72">
            <w:pPr>
              <w:rPr>
                <w:color w:val="0D0D0D" w:themeColor="text1" w:themeTint="F2"/>
              </w:rPr>
            </w:pPr>
            <w:r w:rsidRPr="00083F72">
              <w:rPr>
                <w:color w:val="0D0D0D" w:themeColor="text1" w:themeTint="F2"/>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00F303" w14:textId="77777777" w:rsidR="00555F85" w:rsidRPr="00083F72" w:rsidRDefault="00555F85" w:rsidP="00083F72">
            <w:pPr>
              <w:rPr>
                <w:color w:val="0D0D0D" w:themeColor="text1" w:themeTint="F2"/>
              </w:rPr>
            </w:pPr>
            <w:r w:rsidRPr="00083F72">
              <w:rPr>
                <w:color w:val="0D0D0D" w:themeColor="text1" w:themeTint="F2"/>
              </w:rPr>
              <w:t>—</w:t>
            </w:r>
          </w:p>
        </w:tc>
      </w:tr>
      <w:tr w:rsidR="00555F85" w:rsidRPr="00054335" w14:paraId="7F55C9B6"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3BC323" w14:textId="77777777" w:rsidR="00555F85" w:rsidRPr="00083F72" w:rsidRDefault="00555F85" w:rsidP="00083F72">
            <w:pPr>
              <w:rPr>
                <w:color w:val="0D0D0D" w:themeColor="text1" w:themeTint="F2"/>
              </w:rPr>
            </w:pPr>
            <w:r w:rsidRPr="00083F72">
              <w:rPr>
                <w:color w:val="0D0D0D" w:themeColor="text1" w:themeTint="F2"/>
              </w:rPr>
              <w:t>ETBE (etil-terț-butil-eter produs pe bază de etanol)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B9DD80" w14:textId="77777777" w:rsidR="00555F85" w:rsidRPr="00083F72" w:rsidRDefault="00555F85" w:rsidP="00083F72">
            <w:pPr>
              <w:rPr>
                <w:color w:val="0D0D0D" w:themeColor="text1" w:themeTint="F2"/>
              </w:rPr>
            </w:pPr>
            <w:r w:rsidRPr="00083F72">
              <w:rPr>
                <w:color w:val="0D0D0D" w:themeColor="text1" w:themeTint="F2"/>
              </w:rPr>
              <w:t>36 (din care 33 % din surse 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732B6E" w14:textId="77777777" w:rsidR="00555F85" w:rsidRPr="00083F72" w:rsidRDefault="00555F85" w:rsidP="00083F72">
            <w:pPr>
              <w:rPr>
                <w:color w:val="0D0D0D" w:themeColor="text1" w:themeTint="F2"/>
              </w:rPr>
            </w:pPr>
            <w:r w:rsidRPr="00083F72">
              <w:rPr>
                <w:color w:val="0D0D0D" w:themeColor="text1" w:themeTint="F2"/>
              </w:rPr>
              <w:t>27 (din care 33 % din surse regenerabile)</w:t>
            </w:r>
          </w:p>
        </w:tc>
      </w:tr>
      <w:tr w:rsidR="00555F85" w:rsidRPr="00054335" w14:paraId="6E2251C7"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285882" w14:textId="77777777" w:rsidR="00555F85" w:rsidRPr="00083F72" w:rsidRDefault="00555F85" w:rsidP="00083F72">
            <w:pPr>
              <w:rPr>
                <w:color w:val="0D0D0D" w:themeColor="text1" w:themeTint="F2"/>
              </w:rPr>
            </w:pPr>
            <w:r w:rsidRPr="00083F72">
              <w:rPr>
                <w:color w:val="0D0D0D" w:themeColor="text1" w:themeTint="F2"/>
              </w:rPr>
              <w:t>MTBE (metil-terț-butil-eter produs pe bază de metanol)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D843C6" w14:textId="77777777" w:rsidR="00555F85" w:rsidRPr="00083F72" w:rsidRDefault="00555F85" w:rsidP="00083F72">
            <w:pPr>
              <w:rPr>
                <w:color w:val="0D0D0D" w:themeColor="text1" w:themeTint="F2"/>
              </w:rPr>
            </w:pPr>
            <w:r w:rsidRPr="00083F72">
              <w:rPr>
                <w:color w:val="0D0D0D" w:themeColor="text1" w:themeTint="F2"/>
              </w:rPr>
              <w:t>35 (din care 22 % din surse 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ACE6E2" w14:textId="77777777" w:rsidR="00555F85" w:rsidRPr="00083F72" w:rsidRDefault="00555F85" w:rsidP="00083F72">
            <w:pPr>
              <w:rPr>
                <w:color w:val="0D0D0D" w:themeColor="text1" w:themeTint="F2"/>
              </w:rPr>
            </w:pPr>
            <w:r w:rsidRPr="00083F72">
              <w:rPr>
                <w:color w:val="0D0D0D" w:themeColor="text1" w:themeTint="F2"/>
              </w:rPr>
              <w:t>26 (din care 22 % din surse regenerabile)</w:t>
            </w:r>
          </w:p>
        </w:tc>
      </w:tr>
      <w:tr w:rsidR="00555F85" w:rsidRPr="00054335" w14:paraId="2BEB05D9"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A82BDD" w14:textId="77777777" w:rsidR="00555F85" w:rsidRPr="00083F72" w:rsidRDefault="00555F85" w:rsidP="00083F72">
            <w:pPr>
              <w:rPr>
                <w:color w:val="0D0D0D" w:themeColor="text1" w:themeTint="F2"/>
              </w:rPr>
            </w:pPr>
            <w:r w:rsidRPr="00083F72">
              <w:rPr>
                <w:color w:val="0D0D0D" w:themeColor="text1" w:themeTint="F2"/>
              </w:rPr>
              <w:t>TAEE (terțiar-amil-etil-eter produs pe bază de etanol)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A79EC5" w14:textId="77777777" w:rsidR="00555F85" w:rsidRPr="00083F72" w:rsidRDefault="00555F85" w:rsidP="00083F72">
            <w:pPr>
              <w:rPr>
                <w:color w:val="0D0D0D" w:themeColor="text1" w:themeTint="F2"/>
              </w:rPr>
            </w:pPr>
            <w:r w:rsidRPr="00083F72">
              <w:rPr>
                <w:color w:val="0D0D0D" w:themeColor="text1" w:themeTint="F2"/>
              </w:rPr>
              <w:t>38 (din care 29 % din surse 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82AB1B" w14:textId="77777777" w:rsidR="00555F85" w:rsidRPr="00083F72" w:rsidRDefault="00555F85" w:rsidP="00083F72">
            <w:pPr>
              <w:rPr>
                <w:color w:val="0D0D0D" w:themeColor="text1" w:themeTint="F2"/>
              </w:rPr>
            </w:pPr>
            <w:r w:rsidRPr="00083F72">
              <w:rPr>
                <w:color w:val="0D0D0D" w:themeColor="text1" w:themeTint="F2"/>
              </w:rPr>
              <w:t>29 (din care 29 % din surse regenerabile)</w:t>
            </w:r>
          </w:p>
        </w:tc>
      </w:tr>
      <w:tr w:rsidR="00555F85" w:rsidRPr="00054335" w14:paraId="6BE23A12"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4C23E8" w14:textId="77777777" w:rsidR="00555F85" w:rsidRPr="00083F72" w:rsidRDefault="00555F85" w:rsidP="00083F72">
            <w:pPr>
              <w:rPr>
                <w:color w:val="0D0D0D" w:themeColor="text1" w:themeTint="F2"/>
              </w:rPr>
            </w:pPr>
            <w:r w:rsidRPr="00083F72">
              <w:rPr>
                <w:color w:val="0D0D0D" w:themeColor="text1" w:themeTint="F2"/>
              </w:rPr>
              <w:t>TAME (terțiar-amil-metil-eter produs pe bază de metanol)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E0A5F75" w14:textId="77777777" w:rsidR="00555F85" w:rsidRPr="00083F72" w:rsidRDefault="00555F85" w:rsidP="00083F72">
            <w:pPr>
              <w:rPr>
                <w:color w:val="0D0D0D" w:themeColor="text1" w:themeTint="F2"/>
              </w:rPr>
            </w:pPr>
            <w:r w:rsidRPr="00083F72">
              <w:rPr>
                <w:color w:val="0D0D0D" w:themeColor="text1" w:themeTint="F2"/>
              </w:rPr>
              <w:t>36 (din care 18 % din surse 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FD062A" w14:textId="77777777" w:rsidR="00555F85" w:rsidRPr="00083F72" w:rsidRDefault="00555F85" w:rsidP="00083F72">
            <w:pPr>
              <w:rPr>
                <w:color w:val="0D0D0D" w:themeColor="text1" w:themeTint="F2"/>
              </w:rPr>
            </w:pPr>
            <w:r w:rsidRPr="00083F72">
              <w:rPr>
                <w:color w:val="0D0D0D" w:themeColor="text1" w:themeTint="F2"/>
              </w:rPr>
              <w:t>28 (din care 18 % din surse regenerabile)</w:t>
            </w:r>
          </w:p>
        </w:tc>
      </w:tr>
      <w:tr w:rsidR="00555F85" w:rsidRPr="00054335" w14:paraId="655037DD"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DAA2F2" w14:textId="77777777" w:rsidR="00555F85" w:rsidRPr="00083F72" w:rsidRDefault="00555F85" w:rsidP="00083F72">
            <w:pPr>
              <w:rPr>
                <w:color w:val="0D0D0D" w:themeColor="text1" w:themeTint="F2"/>
              </w:rPr>
            </w:pPr>
            <w:r w:rsidRPr="00083F72">
              <w:rPr>
                <w:color w:val="0D0D0D" w:themeColor="text1" w:themeTint="F2"/>
              </w:rPr>
              <w:t>THxEE (terțiar-hexil-etil-eter produs pe bază de etanol)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AA1906" w14:textId="77777777" w:rsidR="00555F85" w:rsidRPr="00083F72" w:rsidRDefault="00555F85" w:rsidP="00083F72">
            <w:pPr>
              <w:rPr>
                <w:color w:val="0D0D0D" w:themeColor="text1" w:themeTint="F2"/>
              </w:rPr>
            </w:pPr>
            <w:r w:rsidRPr="00083F72">
              <w:rPr>
                <w:color w:val="0D0D0D" w:themeColor="text1" w:themeTint="F2"/>
              </w:rPr>
              <w:t>38 (din care 25 % din surse 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8EBF5E" w14:textId="77777777" w:rsidR="00555F85" w:rsidRPr="00083F72" w:rsidRDefault="00555F85" w:rsidP="00083F72">
            <w:pPr>
              <w:rPr>
                <w:color w:val="0D0D0D" w:themeColor="text1" w:themeTint="F2"/>
              </w:rPr>
            </w:pPr>
            <w:r w:rsidRPr="00083F72">
              <w:rPr>
                <w:color w:val="0D0D0D" w:themeColor="text1" w:themeTint="F2"/>
              </w:rPr>
              <w:t>30 (din care 25 % din surse regenerabile)</w:t>
            </w:r>
          </w:p>
        </w:tc>
      </w:tr>
      <w:tr w:rsidR="00555F85" w:rsidRPr="00054335" w14:paraId="5EFB4EAC"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7BF466" w14:textId="77777777" w:rsidR="00555F85" w:rsidRPr="00083F72" w:rsidRDefault="00555F85" w:rsidP="00083F72">
            <w:pPr>
              <w:rPr>
                <w:color w:val="0D0D0D" w:themeColor="text1" w:themeTint="F2"/>
              </w:rPr>
            </w:pPr>
            <w:r w:rsidRPr="00083F72">
              <w:rPr>
                <w:color w:val="0D0D0D" w:themeColor="text1" w:themeTint="F2"/>
              </w:rPr>
              <w:t>THxME (terțiar-hexil-metil-eter produs pe bază de metanol)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5BC21A" w14:textId="77777777" w:rsidR="00555F85" w:rsidRPr="00083F72" w:rsidRDefault="00555F85" w:rsidP="00083F72">
            <w:pPr>
              <w:rPr>
                <w:color w:val="0D0D0D" w:themeColor="text1" w:themeTint="F2"/>
              </w:rPr>
            </w:pPr>
            <w:r w:rsidRPr="00083F72">
              <w:rPr>
                <w:color w:val="0D0D0D" w:themeColor="text1" w:themeTint="F2"/>
              </w:rPr>
              <w:t>38 (din care 14 % din surse 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321924" w14:textId="77777777" w:rsidR="00555F85" w:rsidRPr="00083F72" w:rsidRDefault="00555F85" w:rsidP="00083F72">
            <w:pPr>
              <w:rPr>
                <w:color w:val="0D0D0D" w:themeColor="text1" w:themeTint="F2"/>
              </w:rPr>
            </w:pPr>
            <w:r w:rsidRPr="00083F72">
              <w:rPr>
                <w:color w:val="0D0D0D" w:themeColor="text1" w:themeTint="F2"/>
              </w:rPr>
              <w:t>30 (din care 14 % din surse regenerabile)</w:t>
            </w:r>
          </w:p>
        </w:tc>
      </w:tr>
      <w:tr w:rsidR="00555F85" w:rsidRPr="00054335" w14:paraId="752C7AB9"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05F918" w14:textId="77777777" w:rsidR="00555F85" w:rsidRPr="00083F72" w:rsidRDefault="00555F85" w:rsidP="00083F72">
            <w:pPr>
              <w:rPr>
                <w:color w:val="0D0D0D" w:themeColor="text1" w:themeTint="F2"/>
              </w:rPr>
            </w:pPr>
            <w:r w:rsidRPr="00083F72">
              <w:rPr>
                <w:color w:val="0D0D0D" w:themeColor="text1" w:themeTint="F2"/>
              </w:rPr>
              <w:t>COMBUSTIBILI DIN SURSE NEREGENERABILE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31FB0B" w14:textId="77777777" w:rsidR="00555F85" w:rsidRPr="00083F72" w:rsidRDefault="00555F85" w:rsidP="00083F72">
            <w:pPr>
              <w:rPr>
                <w:color w:val="0D0D0D" w:themeColor="text1" w:themeTint="F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7888FF" w14:textId="77777777" w:rsidR="00555F85" w:rsidRPr="00083F72" w:rsidRDefault="00555F85" w:rsidP="00083F72">
            <w:pPr>
              <w:rPr>
                <w:color w:val="0D0D0D" w:themeColor="text1" w:themeTint="F2"/>
              </w:rPr>
            </w:pPr>
          </w:p>
        </w:tc>
      </w:tr>
      <w:tr w:rsidR="00555F85" w:rsidRPr="00054335" w14:paraId="13FF9583"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66D051E" w14:textId="77777777" w:rsidR="00555F85" w:rsidRPr="00083F72" w:rsidRDefault="00555F85" w:rsidP="00083F72">
            <w:pPr>
              <w:rPr>
                <w:color w:val="0D0D0D" w:themeColor="text1" w:themeTint="F2"/>
              </w:rPr>
            </w:pPr>
            <w:r w:rsidRPr="00083F72">
              <w:rPr>
                <w:color w:val="0D0D0D" w:themeColor="text1" w:themeTint="F2"/>
              </w:rPr>
              <w:t>Benzină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6A17C1" w14:textId="77777777" w:rsidR="00555F85" w:rsidRPr="00083F72" w:rsidRDefault="00555F85" w:rsidP="00083F72">
            <w:pPr>
              <w:rPr>
                <w:color w:val="0D0D0D" w:themeColor="text1" w:themeTint="F2"/>
              </w:rPr>
            </w:pPr>
            <w:r w:rsidRPr="00083F72">
              <w:rPr>
                <w:color w:val="0D0D0D" w:themeColor="text1" w:themeTint="F2"/>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1E2860" w14:textId="77777777" w:rsidR="00555F85" w:rsidRPr="00083F72" w:rsidRDefault="00555F85" w:rsidP="00083F72">
            <w:pPr>
              <w:rPr>
                <w:color w:val="0D0D0D" w:themeColor="text1" w:themeTint="F2"/>
              </w:rPr>
            </w:pPr>
            <w:r w:rsidRPr="00083F72">
              <w:rPr>
                <w:color w:val="0D0D0D" w:themeColor="text1" w:themeTint="F2"/>
              </w:rPr>
              <w:t>32</w:t>
            </w:r>
          </w:p>
        </w:tc>
      </w:tr>
      <w:tr w:rsidR="00555F85" w:rsidRPr="00054335" w14:paraId="26D786A2"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1783A1" w14:textId="77777777" w:rsidR="00555F85" w:rsidRPr="00083F72" w:rsidRDefault="00555F85" w:rsidP="00083F72">
            <w:pPr>
              <w:rPr>
                <w:color w:val="0D0D0D" w:themeColor="text1" w:themeTint="F2"/>
              </w:rPr>
            </w:pPr>
            <w:r w:rsidRPr="00083F72">
              <w:rPr>
                <w:color w:val="0D0D0D" w:themeColor="text1" w:themeTint="F2"/>
              </w:rPr>
              <w:lastRenderedPageBreak/>
              <w:t>Motorină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218470" w14:textId="77777777" w:rsidR="00555F85" w:rsidRPr="00083F72" w:rsidRDefault="00555F85" w:rsidP="00083F72">
            <w:pPr>
              <w:rPr>
                <w:color w:val="0D0D0D" w:themeColor="text1" w:themeTint="F2"/>
              </w:rPr>
            </w:pPr>
            <w:r w:rsidRPr="00083F72">
              <w:rPr>
                <w:color w:val="0D0D0D" w:themeColor="text1" w:themeTint="F2"/>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E2AB6F" w14:textId="77777777" w:rsidR="00555F85" w:rsidRPr="00083F72" w:rsidRDefault="00555F85" w:rsidP="00083F72">
            <w:pPr>
              <w:rPr>
                <w:color w:val="0D0D0D" w:themeColor="text1" w:themeTint="F2"/>
              </w:rPr>
            </w:pPr>
            <w:r w:rsidRPr="00083F72">
              <w:rPr>
                <w:color w:val="0D0D0D" w:themeColor="text1" w:themeTint="F2"/>
              </w:rPr>
              <w:t>36</w:t>
            </w:r>
          </w:p>
        </w:tc>
      </w:tr>
      <w:tr w:rsidR="00555F85" w:rsidRPr="00054335" w14:paraId="67E15EE1"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54CF5E" w14:textId="77777777" w:rsidR="00555F85" w:rsidRPr="00083F72" w:rsidRDefault="00555F85" w:rsidP="00083F72">
            <w:pPr>
              <w:rPr>
                <w:color w:val="0D0D0D" w:themeColor="text1" w:themeTint="F2"/>
              </w:rPr>
            </w:pPr>
            <w:r w:rsidRPr="00083F72">
              <w:rPr>
                <w:color w:val="0D0D0D" w:themeColor="text1" w:themeTint="F2"/>
              </w:rPr>
              <w:t>Combustibil pentru avioane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A40CD0" w14:textId="77777777" w:rsidR="00555F85" w:rsidRPr="00083F72" w:rsidRDefault="00555F85" w:rsidP="00083F72">
            <w:pPr>
              <w:rPr>
                <w:color w:val="0D0D0D" w:themeColor="text1" w:themeTint="F2"/>
              </w:rPr>
            </w:pPr>
            <w:r w:rsidRPr="00083F72">
              <w:rPr>
                <w:color w:val="0D0D0D" w:themeColor="text1" w:themeTint="F2"/>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8C3BDC" w14:textId="77777777" w:rsidR="00555F85" w:rsidRPr="00083F72" w:rsidRDefault="00555F85" w:rsidP="00083F72">
            <w:pPr>
              <w:rPr>
                <w:color w:val="0D0D0D" w:themeColor="text1" w:themeTint="F2"/>
              </w:rPr>
            </w:pPr>
            <w:r w:rsidRPr="00083F72">
              <w:rPr>
                <w:color w:val="0D0D0D" w:themeColor="text1" w:themeTint="F2"/>
              </w:rPr>
              <w:t>34</w:t>
            </w:r>
          </w:p>
        </w:tc>
      </w:tr>
      <w:tr w:rsidR="00555F85" w:rsidRPr="00054335" w14:paraId="3ABAD562" w14:textId="77777777" w:rsidTr="00083F7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01D686" w14:textId="77777777" w:rsidR="00555F85" w:rsidRPr="00083F72" w:rsidRDefault="00555F85" w:rsidP="00083F72">
            <w:pPr>
              <w:rPr>
                <w:color w:val="0D0D0D" w:themeColor="text1" w:themeTint="F2"/>
              </w:rPr>
            </w:pPr>
            <w:r w:rsidRPr="00083F72">
              <w:rPr>
                <w:color w:val="0D0D0D" w:themeColor="text1" w:themeTint="F2"/>
              </w:rPr>
              <w:t>Hidrogen din surse neregenerabile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8FA506" w14:textId="77777777" w:rsidR="00555F85" w:rsidRPr="00083F72" w:rsidRDefault="00555F85" w:rsidP="00083F72">
            <w:pPr>
              <w:rPr>
                <w:color w:val="0D0D0D" w:themeColor="text1" w:themeTint="F2"/>
              </w:rPr>
            </w:pPr>
            <w:r w:rsidRPr="00083F72">
              <w:rPr>
                <w:color w:val="0D0D0D" w:themeColor="text1" w:themeTint="F2"/>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BAC8ED" w14:textId="77777777" w:rsidR="00555F85" w:rsidRPr="00083F72" w:rsidRDefault="00555F85" w:rsidP="00083F72">
            <w:pPr>
              <w:rPr>
                <w:color w:val="0D0D0D" w:themeColor="text1" w:themeTint="F2"/>
              </w:rPr>
            </w:pPr>
            <w:r w:rsidRPr="00083F72">
              <w:rPr>
                <w:color w:val="0D0D0D" w:themeColor="text1" w:themeTint="F2"/>
              </w:rPr>
              <w:t>—</w:t>
            </w:r>
          </w:p>
        </w:tc>
      </w:tr>
    </w:tbl>
    <w:p w14:paraId="2C98EDAA" w14:textId="77777777" w:rsidR="00555F85" w:rsidRPr="00054335" w:rsidRDefault="00555F85" w:rsidP="00555F85">
      <w:pPr>
        <w:rPr>
          <w:color w:val="0D0D0D" w:themeColor="text1" w:themeTint="F2"/>
        </w:rPr>
      </w:pPr>
    </w:p>
    <w:p w14:paraId="01E25D2A" w14:textId="158618E5" w:rsidR="00555F85" w:rsidRPr="00054335" w:rsidRDefault="00555F85" w:rsidP="00555F85">
      <w:pPr>
        <w:pStyle w:val="Heading5"/>
      </w:pPr>
      <w:r w:rsidRPr="00054335">
        <w:t xml:space="preserve">În Anexa nr. 3, Partea A, se modifică în definiția termenului </w:t>
      </w:r>
      <w:r w:rsidRPr="00083F72">
        <w:t>“</w:t>
      </w:r>
      <w:r w:rsidRPr="00054335">
        <w:t xml:space="preserve">Q </w:t>
      </w:r>
      <w:r w:rsidRPr="00054335">
        <w:rPr>
          <w:vertAlign w:val="subscript"/>
        </w:rPr>
        <w:t>utilizabil</w:t>
      </w:r>
      <w:r w:rsidRPr="00054335">
        <w:t>” trimiterea la art. 6 alin. (4) cu trimiterea la art. 7 alin. (5).</w:t>
      </w:r>
    </w:p>
    <w:p w14:paraId="641CD5E5" w14:textId="77777777" w:rsidR="00555F85" w:rsidRPr="00054335" w:rsidRDefault="00555F85" w:rsidP="00555F85">
      <w:pPr>
        <w:rPr>
          <w:b/>
          <w:bCs/>
          <w:color w:val="0D0D0D" w:themeColor="text1" w:themeTint="F2"/>
        </w:rPr>
      </w:pPr>
      <w:r w:rsidRPr="00054335">
        <w:rPr>
          <w:b/>
          <w:bCs/>
          <w:color w:val="0D0D0D" w:themeColor="text1" w:themeTint="F2"/>
        </w:rPr>
        <w:t>Articolul II</w:t>
      </w:r>
    </w:p>
    <w:p w14:paraId="41469087" w14:textId="77777777" w:rsidR="00555F85" w:rsidRPr="00054335" w:rsidRDefault="00555F85" w:rsidP="00555F85">
      <w:pPr>
        <w:rPr>
          <w:b/>
          <w:bCs/>
          <w:color w:val="0D0D0D" w:themeColor="text1" w:themeTint="F2"/>
        </w:rPr>
      </w:pPr>
      <w:r w:rsidRPr="00054335">
        <w:rPr>
          <w:b/>
          <w:bCs/>
          <w:color w:val="0D0D0D" w:themeColor="text1" w:themeTint="F2"/>
        </w:rPr>
        <w:t>Legea nr. 220/2008</w:t>
      </w:r>
      <w:r w:rsidRPr="00083F72">
        <w:t xml:space="preserve"> </w:t>
      </w:r>
      <w:r w:rsidRPr="00054335">
        <w:rPr>
          <w:b/>
          <w:bCs/>
          <w:color w:val="0D0D0D" w:themeColor="text1" w:themeTint="F2"/>
        </w:rPr>
        <w:t>pentru stabilirea sistemului de promovare a producerii energiei din surse regenerabile de energie, cu modificările și completările ulterioare, se modifică  și se completează după cum urmează:</w:t>
      </w:r>
    </w:p>
    <w:p w14:paraId="4B236FD2" w14:textId="77777777" w:rsidR="00555F85" w:rsidRPr="00054335" w:rsidRDefault="00555F85" w:rsidP="00555F85">
      <w:pPr>
        <w:pStyle w:val="ListParagraph"/>
        <w:numPr>
          <w:ilvl w:val="0"/>
          <w:numId w:val="193"/>
        </w:numPr>
        <w:spacing w:before="0" w:after="200"/>
        <w:rPr>
          <w:b/>
          <w:bCs/>
          <w:color w:val="0D0D0D" w:themeColor="text1" w:themeTint="F2"/>
        </w:rPr>
      </w:pPr>
      <w:r w:rsidRPr="00054335">
        <w:rPr>
          <w:b/>
          <w:bCs/>
          <w:color w:val="0D0D0D" w:themeColor="text1" w:themeTint="F2"/>
        </w:rPr>
        <w:t>La art.2 lit. i</w:t>
      </w:r>
      <w:r w:rsidRPr="00054335">
        <w:rPr>
          <w:b/>
          <w:bCs/>
          <w:color w:val="0D0D0D" w:themeColor="text1" w:themeTint="F2"/>
          <w:vertAlign w:val="superscript"/>
        </w:rPr>
        <w:t>1</w:t>
      </w:r>
      <w:r w:rsidRPr="00054335">
        <w:rPr>
          <w:b/>
          <w:bCs/>
          <w:color w:val="0D0D0D" w:themeColor="text1" w:themeTint="F2"/>
        </w:rPr>
        <w:t>) se modifică și va avea următorul cuprins:</w:t>
      </w:r>
    </w:p>
    <w:p w14:paraId="2985B0E5" w14:textId="77777777" w:rsidR="00555F85" w:rsidRPr="00054335" w:rsidRDefault="00555F85" w:rsidP="00555F85">
      <w:pPr>
        <w:pStyle w:val="ListParagraph"/>
        <w:rPr>
          <w:color w:val="0D0D0D" w:themeColor="text1" w:themeTint="F2"/>
        </w:rPr>
      </w:pPr>
      <w:r w:rsidRPr="00054335">
        <w:rPr>
          <w:b/>
          <w:bCs/>
          <w:color w:val="0D0D0D" w:themeColor="text1" w:themeTint="F2"/>
        </w:rPr>
        <w:t xml:space="preserve">consum final brut de energie </w:t>
      </w:r>
      <w:r w:rsidRPr="00054335">
        <w:rPr>
          <w:color w:val="0D0D0D" w:themeColor="text1" w:themeTint="F2"/>
        </w:rPr>
        <w:t>înseamnă produsele energetice furnizate în scopuri energetice industriei, transporturilor, gospodăriilor, serviciilor, inclusiv serviciilor publice, agriculturii, silviculturii și pescuitului, consumul de energie electrică și termică din sectorul de producere a energiei electrice și termice, precum și pierderile de energie electrică și termică din distribuție și transport.</w:t>
      </w:r>
    </w:p>
    <w:p w14:paraId="08E0005C" w14:textId="77777777" w:rsidR="00555F85" w:rsidRPr="00054335" w:rsidRDefault="00555F85" w:rsidP="00555F85">
      <w:pPr>
        <w:pStyle w:val="ListParagraph"/>
        <w:rPr>
          <w:color w:val="0D0D0D" w:themeColor="text1" w:themeTint="F2"/>
        </w:rPr>
      </w:pPr>
    </w:p>
    <w:p w14:paraId="147A819F" w14:textId="77777777" w:rsidR="00555F85" w:rsidRPr="00054335" w:rsidRDefault="00555F85" w:rsidP="00555F85">
      <w:pPr>
        <w:pStyle w:val="ListParagraph"/>
        <w:numPr>
          <w:ilvl w:val="0"/>
          <w:numId w:val="193"/>
        </w:numPr>
        <w:spacing w:before="0" w:after="200"/>
        <w:rPr>
          <w:b/>
          <w:bCs/>
          <w:color w:val="0D0D0D" w:themeColor="text1" w:themeTint="F2"/>
        </w:rPr>
      </w:pPr>
      <w:r w:rsidRPr="00054335">
        <w:rPr>
          <w:b/>
          <w:bCs/>
          <w:color w:val="0D0D0D" w:themeColor="text1" w:themeTint="F2"/>
        </w:rPr>
        <w:t>Art. (24^3) se modifică și va avea următorul cuprins:</w:t>
      </w:r>
    </w:p>
    <w:p w14:paraId="3ACB6D14" w14:textId="77777777" w:rsidR="00555F85" w:rsidRPr="00054335" w:rsidRDefault="00555F85" w:rsidP="00555F85">
      <w:pPr>
        <w:pStyle w:val="ListParagraph"/>
        <w:numPr>
          <w:ilvl w:val="0"/>
          <w:numId w:val="196"/>
        </w:numPr>
        <w:spacing w:before="0" w:after="200"/>
        <w:rPr>
          <w:color w:val="0D0D0D" w:themeColor="text1" w:themeTint="F2"/>
        </w:rPr>
      </w:pPr>
      <w:bookmarkStart w:id="3" w:name="_Hlk179793052"/>
      <w:r w:rsidRPr="00083F72">
        <w:rPr>
          <w:color w:val="0D0D0D" w:themeColor="text1" w:themeTint="F2"/>
        </w:rPr>
        <w:t>Ministerul Muncii și Solidarității Sociale</w:t>
      </w:r>
      <w:r w:rsidRPr="00054335">
        <w:rPr>
          <w:color w:val="0D0D0D" w:themeColor="text1" w:themeTint="F2"/>
        </w:rPr>
        <w:t xml:space="preserve"> , Ministerul Dezvoltării, Lucrărilor Publice și Administrației, Ministerul Agriculturii și Dezvoltării Rurale, Ministerul Educației, Ministerul Economiei, Antreprenoriatului și Turismului și Autoritatea Națională de Reglementare în domeniul Energiei, sub coordonarea Ministerului de resort</w:t>
      </w:r>
      <w:bookmarkEnd w:id="3"/>
      <w:r w:rsidRPr="00054335">
        <w:rPr>
          <w:color w:val="0D0D0D" w:themeColor="text1" w:themeTint="F2"/>
        </w:rPr>
        <w:t xml:space="preserve">, se asigură că scheme de certificare sau sistemele de calificare echivalente sunt disponibile pentru instalatorii și proiectanții tuturor formelor de sisteme de încălzire și răcire din surse regenerabile pentru clădiri, industrie și agricultură, pentru instalatorii de sisteme fotovoltaice solare, inclusiv de sisteme de stocare a energiei, și pentru instalatorii de puncte de reîncărcare care să permită răspunsul la variațiile cererii. </w:t>
      </w:r>
    </w:p>
    <w:p w14:paraId="29247A93" w14:textId="77777777" w:rsidR="00555F85" w:rsidRPr="00054335" w:rsidRDefault="00555F85" w:rsidP="00555F85">
      <w:pPr>
        <w:pStyle w:val="ListParagraph"/>
        <w:numPr>
          <w:ilvl w:val="0"/>
          <w:numId w:val="196"/>
        </w:numPr>
        <w:spacing w:before="0" w:after="200"/>
        <w:rPr>
          <w:color w:val="0D0D0D" w:themeColor="text1" w:themeTint="F2"/>
        </w:rPr>
      </w:pPr>
      <w:r w:rsidRPr="00054335">
        <w:rPr>
          <w:color w:val="0D0D0D" w:themeColor="text1" w:themeTint="F2"/>
        </w:rPr>
        <w:t>Schemele menționate la alin. (1) pot ține seama de sistemele și structurile existente, după caz, și au la bază criteriile prevăzute în anexa IV.</w:t>
      </w:r>
    </w:p>
    <w:p w14:paraId="777F18DD" w14:textId="77777777" w:rsidR="00555F85" w:rsidRPr="00054335" w:rsidRDefault="00555F85" w:rsidP="00555F85">
      <w:pPr>
        <w:pStyle w:val="ListParagraph"/>
        <w:numPr>
          <w:ilvl w:val="0"/>
          <w:numId w:val="196"/>
        </w:numPr>
        <w:spacing w:before="0" w:after="200"/>
        <w:rPr>
          <w:color w:val="0D0D0D" w:themeColor="text1" w:themeTint="F2"/>
        </w:rPr>
      </w:pPr>
      <w:r w:rsidRPr="00054335">
        <w:rPr>
          <w:color w:val="0D0D0D" w:themeColor="text1" w:themeTint="F2"/>
        </w:rPr>
        <w:t>România recunoaște certificarea acordată de alte state membre în conformitate cu criteriile prevăzute la alin. (2).</w:t>
      </w:r>
    </w:p>
    <w:p w14:paraId="61E9D0B7" w14:textId="77777777" w:rsidR="00555F85" w:rsidRPr="00054335" w:rsidRDefault="00555F85" w:rsidP="00555F85">
      <w:pPr>
        <w:pStyle w:val="ListParagraph"/>
        <w:ind w:left="1128"/>
        <w:rPr>
          <w:color w:val="0D0D0D" w:themeColor="text1" w:themeTint="F2"/>
        </w:rPr>
      </w:pPr>
    </w:p>
    <w:p w14:paraId="61F8F530" w14:textId="77777777" w:rsidR="00555F85" w:rsidRPr="00054335" w:rsidRDefault="00555F85" w:rsidP="00555F85">
      <w:pPr>
        <w:pStyle w:val="ListParagraph"/>
        <w:numPr>
          <w:ilvl w:val="0"/>
          <w:numId w:val="196"/>
        </w:numPr>
        <w:spacing w:before="0" w:after="200"/>
        <w:rPr>
          <w:color w:val="0D0D0D" w:themeColor="text1" w:themeTint="F2"/>
        </w:rPr>
      </w:pPr>
      <w:r w:rsidRPr="00054335">
        <w:rPr>
          <w:color w:val="0D0D0D" w:themeColor="text1" w:themeTint="F2"/>
        </w:rPr>
        <w:t xml:space="preserve">Autoritățile competente prevăzute la alin. (1), creează un cadru pentru a se asigura că un număr suficient de instalatori formați și calificați în tehnologiile menționate asigură creșterea ponderii energiei din surse regenerabile necesară pentru realizarea obiectivelor stabilite în prezenta ordonanță de urgență.  </w:t>
      </w:r>
    </w:p>
    <w:p w14:paraId="26E3242E" w14:textId="77777777" w:rsidR="00555F85" w:rsidRPr="00054335" w:rsidRDefault="00555F85" w:rsidP="00555F85">
      <w:pPr>
        <w:pStyle w:val="ListParagraph"/>
        <w:numPr>
          <w:ilvl w:val="0"/>
          <w:numId w:val="196"/>
        </w:numPr>
        <w:spacing w:before="0" w:after="200"/>
        <w:rPr>
          <w:color w:val="0D0D0D" w:themeColor="text1" w:themeTint="F2"/>
        </w:rPr>
      </w:pPr>
      <w:r w:rsidRPr="00054335">
        <w:rPr>
          <w:color w:val="0D0D0D" w:themeColor="text1" w:themeTint="F2"/>
        </w:rPr>
        <w:t xml:space="preserve">Pentru a obține un număr suficient de instalatori și proiectanți,  autoritățile competente prevăzute la alin. (1), se asigură că sunt puse la dispoziție suficiente programe de formare care să conducă la certificare sau calificare, care să cuprindă tehnologia de încălzire și răcire din surse regenerabile, sistemele fotovoltaice solare, inclusiv sistemele de stocare a energiei, punctele de reîncărcare care să permită </w:t>
      </w:r>
      <w:r w:rsidRPr="00054335">
        <w:rPr>
          <w:color w:val="0D0D0D" w:themeColor="text1" w:themeTint="F2"/>
        </w:rPr>
        <w:lastRenderedPageBreak/>
        <w:t>răspunsul la variațiile cereri, precum și cele mai recente soluții inovatoare ale acestora, cu condiția ca acestea să fie compatibile cu scheme de certificare sau sistemele de calificare echivalente.</w:t>
      </w:r>
    </w:p>
    <w:p w14:paraId="72EFC835" w14:textId="77777777" w:rsidR="00555F85" w:rsidRPr="00054335" w:rsidRDefault="00555F85" w:rsidP="00555F85">
      <w:pPr>
        <w:pStyle w:val="ListParagraph"/>
        <w:ind w:left="1128"/>
        <w:rPr>
          <w:color w:val="0D0D0D" w:themeColor="text1" w:themeTint="F2"/>
        </w:rPr>
      </w:pPr>
    </w:p>
    <w:p w14:paraId="73E08EBD" w14:textId="77777777" w:rsidR="00555F85" w:rsidRPr="00054335" w:rsidRDefault="00555F85" w:rsidP="00555F85">
      <w:pPr>
        <w:pStyle w:val="ListParagraph"/>
        <w:numPr>
          <w:ilvl w:val="0"/>
          <w:numId w:val="196"/>
        </w:numPr>
        <w:spacing w:before="0" w:after="200"/>
        <w:rPr>
          <w:color w:val="0D0D0D" w:themeColor="text1" w:themeTint="F2"/>
        </w:rPr>
      </w:pPr>
      <w:r w:rsidRPr="00054335">
        <w:rPr>
          <w:color w:val="0D0D0D" w:themeColor="text1" w:themeTint="F2"/>
        </w:rPr>
        <w:t xml:space="preserve">Autoritățile competente prevăzute la alin. (1) instituie măsuri de promovare a participării programele de formare menționate la alin. (5), în special a întreprinderilor mici și mijlocii și a persoanelor.  </w:t>
      </w:r>
    </w:p>
    <w:p w14:paraId="08D0E1AC" w14:textId="77777777" w:rsidR="00555F85" w:rsidRPr="00054335" w:rsidRDefault="00555F85" w:rsidP="00555F85">
      <w:pPr>
        <w:pStyle w:val="ListParagraph"/>
        <w:ind w:left="1128"/>
        <w:rPr>
          <w:color w:val="0D0D0D" w:themeColor="text1" w:themeTint="F2"/>
        </w:rPr>
      </w:pPr>
    </w:p>
    <w:p w14:paraId="506E4472" w14:textId="77777777" w:rsidR="00555F85" w:rsidRPr="00054335" w:rsidRDefault="00555F85" w:rsidP="00555F85">
      <w:pPr>
        <w:pStyle w:val="ListParagraph"/>
        <w:numPr>
          <w:ilvl w:val="0"/>
          <w:numId w:val="196"/>
        </w:numPr>
        <w:spacing w:before="0" w:after="200"/>
        <w:rPr>
          <w:color w:val="0D0D0D" w:themeColor="text1" w:themeTint="F2"/>
        </w:rPr>
      </w:pPr>
      <w:r w:rsidRPr="00054335">
        <w:rPr>
          <w:color w:val="0D0D0D" w:themeColor="text1" w:themeTint="F2"/>
        </w:rPr>
        <w:t xml:space="preserve">Autoritățile competente prevăzute la alin. (1) pot institui acorduri voluntare, care se pot baza pe estimări ale vânzărilor fundamentate printr-un studiu de piață, cu furnizorii și vânzătorii de tehnologie relevanți pentru a forma un număr suficient de instalator cu privire la cele mai recente soluții și tehnologii inovatoare disponibile pe piață. </w:t>
      </w:r>
    </w:p>
    <w:p w14:paraId="3144B5C3" w14:textId="77777777" w:rsidR="00555F85" w:rsidRPr="00054335" w:rsidRDefault="00555F85" w:rsidP="00555F85">
      <w:pPr>
        <w:pStyle w:val="ListParagraph"/>
        <w:numPr>
          <w:ilvl w:val="0"/>
          <w:numId w:val="196"/>
        </w:numPr>
        <w:spacing w:before="0" w:after="200"/>
        <w:rPr>
          <w:color w:val="0D0D0D" w:themeColor="text1" w:themeTint="F2"/>
        </w:rPr>
      </w:pPr>
      <w:r w:rsidRPr="00054335">
        <w:rPr>
          <w:color w:val="0D0D0D" w:themeColor="text1" w:themeTint="F2"/>
        </w:rPr>
        <w:t xml:space="preserve">În cazul în care Ministerul Muncii și Solidarității Sociale identifică un decalaj substanțial între numărul disponibil și necesar de instalatori formați și calificați, autoritățile competente prevăzute la alin. (1) iau măsuri pentru a remedia acest decalaj.  </w:t>
      </w:r>
    </w:p>
    <w:p w14:paraId="33FDC658" w14:textId="77777777" w:rsidR="00555F85" w:rsidRPr="00054335" w:rsidRDefault="00555F85" w:rsidP="00555F85">
      <w:pPr>
        <w:pStyle w:val="ListParagraph"/>
        <w:numPr>
          <w:ilvl w:val="0"/>
          <w:numId w:val="196"/>
        </w:numPr>
        <w:spacing w:before="0" w:after="200"/>
        <w:rPr>
          <w:color w:val="0D0D0D" w:themeColor="text1" w:themeTint="F2"/>
        </w:rPr>
      </w:pPr>
      <w:r w:rsidRPr="00054335">
        <w:rPr>
          <w:color w:val="0D0D0D" w:themeColor="text1" w:themeTint="F2"/>
        </w:rPr>
        <w:t>Autoritățile competente prevăzute la alin. (1) pun la dispoziția publicului informații privind schemele de certificare sau sistemele de calificare echivalente menționate la alin. (5).</w:t>
      </w:r>
    </w:p>
    <w:p w14:paraId="29AEE2E8" w14:textId="77777777" w:rsidR="00555F85" w:rsidRPr="00054335" w:rsidRDefault="00555F85" w:rsidP="00555F85">
      <w:pPr>
        <w:pStyle w:val="ListParagraph"/>
        <w:numPr>
          <w:ilvl w:val="0"/>
          <w:numId w:val="196"/>
        </w:numPr>
        <w:spacing w:before="0" w:after="200"/>
        <w:rPr>
          <w:color w:val="0D0D0D" w:themeColor="text1" w:themeTint="F2"/>
        </w:rPr>
      </w:pPr>
      <w:r w:rsidRPr="00054335">
        <w:rPr>
          <w:color w:val="0D0D0D" w:themeColor="text1" w:themeTint="F2"/>
        </w:rPr>
        <w:t>Autoritatea Națională de Reglementare în domeniul Energiei pune la dispoziția publicului, într-un mod transparent și ușor accesibil, o listă actualizată periodic a instalatorilor care sunt certificați sau calificați în conformitate cu alin. (4)-(7).</w:t>
      </w:r>
    </w:p>
    <w:p w14:paraId="354395F4" w14:textId="77777777" w:rsidR="00555F85" w:rsidRPr="00054335" w:rsidRDefault="00555F85" w:rsidP="00555F85">
      <w:pPr>
        <w:pStyle w:val="ListParagraph"/>
        <w:rPr>
          <w:color w:val="0D0D0D" w:themeColor="text1" w:themeTint="F2"/>
        </w:rPr>
      </w:pPr>
    </w:p>
    <w:p w14:paraId="7CDC89E7" w14:textId="77777777" w:rsidR="00555F85" w:rsidRPr="00054335" w:rsidRDefault="00555F85" w:rsidP="00555F85">
      <w:pPr>
        <w:pStyle w:val="ListParagraph"/>
        <w:numPr>
          <w:ilvl w:val="0"/>
          <w:numId w:val="193"/>
        </w:numPr>
        <w:spacing w:before="0" w:after="200"/>
        <w:rPr>
          <w:b/>
          <w:bCs/>
          <w:color w:val="0D0D0D" w:themeColor="text1" w:themeTint="F2"/>
        </w:rPr>
      </w:pPr>
      <w:r w:rsidRPr="00054335">
        <w:rPr>
          <w:b/>
          <w:bCs/>
          <w:color w:val="0D0D0D" w:themeColor="text1" w:themeTint="F2"/>
        </w:rPr>
        <w:t>Anexa din Legea nr. 220/2008 se modifică și va avea următorul cuprins:</w:t>
      </w:r>
    </w:p>
    <w:p w14:paraId="33A36213" w14:textId="77777777" w:rsidR="00555F85" w:rsidRPr="00054335" w:rsidRDefault="00555F85" w:rsidP="00555F85">
      <w:pPr>
        <w:rPr>
          <w:b/>
          <w:bCs/>
          <w:color w:val="0D0D0D" w:themeColor="text1" w:themeTint="F2"/>
        </w:rPr>
      </w:pPr>
      <w:r w:rsidRPr="00054335">
        <w:rPr>
          <w:b/>
          <w:bCs/>
          <w:color w:val="0D0D0D" w:themeColor="text1" w:themeTint="F2"/>
        </w:rPr>
        <w:t>FORMAREA ȘI CERTIFICAREA INSTALATORILOR ȘI PROIECTANȚILOR INSTALAȚIILOR PE BAZĂ DE ENERGIE DIN SURSE REGENERABILE</w:t>
      </w:r>
    </w:p>
    <w:p w14:paraId="1DF62FD2" w14:textId="77777777" w:rsidR="00555F85" w:rsidRPr="00054335" w:rsidRDefault="00555F85" w:rsidP="00555F85">
      <w:pPr>
        <w:rPr>
          <w:color w:val="0D0D0D" w:themeColor="text1" w:themeTint="F2"/>
        </w:rPr>
      </w:pPr>
      <w:r w:rsidRPr="00054335">
        <w:rPr>
          <w:color w:val="0D0D0D" w:themeColor="text1" w:themeTint="F2"/>
        </w:rPr>
        <w:t>Sistemele de certificare sau sistemele de calificare echivalente și programele de formare au la bază următoarele criterii:</w:t>
      </w:r>
    </w:p>
    <w:p w14:paraId="0895589E" w14:textId="77777777" w:rsidR="00555F85" w:rsidRPr="00054335" w:rsidRDefault="00555F85" w:rsidP="00555F85">
      <w:pPr>
        <w:rPr>
          <w:color w:val="0D0D0D" w:themeColor="text1" w:themeTint="F2"/>
        </w:rPr>
      </w:pPr>
      <w:r w:rsidRPr="00054335">
        <w:rPr>
          <w:color w:val="0D0D0D" w:themeColor="text1" w:themeTint="F2"/>
        </w:rPr>
        <w:t>Art. 1. Procesul de certificare sau un proces de calificare echivalent trebuie să fie transparent și definit în mod clar. Certificatele eliberate de organismele de certificare sunt clar definite și ușor de identificat pentru lucrătorii și profesioniștii care solicită certificarea. Procesul de certificare le permite instalatorilor să dobândească cunoștințele teoretice și practice necesare și garantează existența competențelor necesare pentru a instala instalații de înaltă calitate care funcționează în mod fiabil.</w:t>
      </w:r>
    </w:p>
    <w:p w14:paraId="64756A41" w14:textId="77777777" w:rsidR="00555F85" w:rsidRPr="00054335" w:rsidRDefault="00555F85" w:rsidP="00555F85">
      <w:pPr>
        <w:rPr>
          <w:color w:val="0D0D0D" w:themeColor="text1" w:themeTint="F2"/>
        </w:rPr>
      </w:pPr>
      <w:r w:rsidRPr="00054335">
        <w:rPr>
          <w:color w:val="0D0D0D" w:themeColor="text1" w:themeTint="F2"/>
        </w:rPr>
        <w:t>Art. 2.  Instalatorii de sisteme care funcționează pe bază de biomasă, pompe de căldură, energie geotermală de mică adâncime, energie fotovoltaică solară și energie termică solară, inclusiv pentru stocarea energiei, și de puncte de reîncărcare sunt certificați printr-un program de formare acreditat sau de către un organism de formare acreditat ori printr-un sistem de calificare echivalent.</w:t>
      </w:r>
    </w:p>
    <w:p w14:paraId="077A3D0C" w14:textId="77777777" w:rsidR="00555F85" w:rsidRPr="00054335" w:rsidRDefault="00555F85" w:rsidP="00555F85">
      <w:pPr>
        <w:rPr>
          <w:color w:val="0D0D0D" w:themeColor="text1" w:themeTint="F2"/>
        </w:rPr>
      </w:pPr>
      <w:r w:rsidRPr="00054335">
        <w:rPr>
          <w:color w:val="0D0D0D" w:themeColor="text1" w:themeTint="F2"/>
        </w:rPr>
        <w:t xml:space="preserve">Art. 3. Acreditarea programului sau a organismului de formare se realizează de către autoritățile competente. Organismul de acreditare se asigură că programele de formare, inclusiv </w:t>
      </w:r>
      <w:r w:rsidRPr="00054335">
        <w:rPr>
          <w:color w:val="0D0D0D" w:themeColor="text1" w:themeTint="F2"/>
        </w:rPr>
        <w:lastRenderedPageBreak/>
        <w:t>programele de perfecționare și recalificare oferite de organismul de formare sunt incluzive, au continuitate și au acoperire națională.</w:t>
      </w:r>
    </w:p>
    <w:p w14:paraId="7784AB61" w14:textId="77777777" w:rsidR="00555F85" w:rsidRPr="00054335" w:rsidRDefault="00555F85" w:rsidP="00555F85">
      <w:pPr>
        <w:rPr>
          <w:color w:val="0D0D0D" w:themeColor="text1" w:themeTint="F2"/>
        </w:rPr>
      </w:pPr>
      <w:r w:rsidRPr="00054335">
        <w:rPr>
          <w:color w:val="0D0D0D" w:themeColor="text1" w:themeTint="F2"/>
        </w:rPr>
        <w:t>Organismul de formare trebuie să dețină dotări tehnice specifice pentru a oferi formare practică, inclusiv suficiente echipamente de laborator sau facilități corespunzătoare pentru a asigura formarea practică.</w:t>
      </w:r>
    </w:p>
    <w:p w14:paraId="37AFA705" w14:textId="77777777" w:rsidR="00555F85" w:rsidRPr="00054335" w:rsidRDefault="00555F85" w:rsidP="00555F85">
      <w:pPr>
        <w:rPr>
          <w:color w:val="0D0D0D" w:themeColor="text1" w:themeTint="F2"/>
        </w:rPr>
      </w:pPr>
      <w:r w:rsidRPr="00054335">
        <w:rPr>
          <w:color w:val="0D0D0D" w:themeColor="text1" w:themeTint="F2"/>
        </w:rPr>
        <w:t>De asemenea, organismul de formare trebuie să ofere, pe lângă formarea de bază, cursuri mai scurte de actualizare și de perfecționare organizate în module de formare care să le permită instalatorilor și proiectanților să obțină noi competențe, să își extindă și să își diversifice aptitudinile cu privire la mai multe tipuri de tehnologii și combinații ale acestora. Organismul de formare asigură adaptarea formării la noile tehnologii în domeniul energiei din surse regenerabile în contextul clădirilor, al industriei și al agriculturii. Organismele de formare recunosc competențele relevante dobândite.</w:t>
      </w:r>
    </w:p>
    <w:p w14:paraId="68A72B2D" w14:textId="77777777" w:rsidR="00555F85" w:rsidRPr="00054335" w:rsidRDefault="00555F85" w:rsidP="00555F85">
      <w:pPr>
        <w:rPr>
          <w:color w:val="0D0D0D" w:themeColor="text1" w:themeTint="F2"/>
        </w:rPr>
      </w:pPr>
      <w:r w:rsidRPr="00054335">
        <w:rPr>
          <w:color w:val="0D0D0D" w:themeColor="text1" w:themeTint="F2"/>
        </w:rPr>
        <w:t>Programele și modulele de formare sunt concepute astfel încât să permită învățarea pe tot parcursul vieții cu privire la instalațiile pe bază de energie din surse regenerabile și să fie compatibile cu formarea profesională pentru persoanele aflate în căutarea unui loc de muncă pentru prima dată și pentru adulții care doresc să se recalifice sau să găsească un nou loc de muncă.</w:t>
      </w:r>
    </w:p>
    <w:p w14:paraId="70305EAC" w14:textId="77777777" w:rsidR="00555F85" w:rsidRPr="00054335" w:rsidRDefault="00555F85" w:rsidP="00555F85">
      <w:pPr>
        <w:rPr>
          <w:color w:val="0D0D0D" w:themeColor="text1" w:themeTint="F2"/>
        </w:rPr>
      </w:pPr>
      <w:r w:rsidRPr="00054335">
        <w:rPr>
          <w:color w:val="0D0D0D" w:themeColor="text1" w:themeTint="F2"/>
        </w:rPr>
        <w:t>Programele de formare sunt concepute pentru a facilita dobândirea calificărilor care să cuprindă diferite tipuri de tehnologii și soluții și pentru a evita specializarea limitată cu privire la o anumită marcă sau tehnologie. Pot avea calitatea de organism de formare producătorul instalației sau al sistemului, institute sau asociații.</w:t>
      </w:r>
    </w:p>
    <w:p w14:paraId="0AACD9F5" w14:textId="77777777" w:rsidR="00555F85" w:rsidRPr="00054335" w:rsidRDefault="00555F85" w:rsidP="00555F85">
      <w:pPr>
        <w:rPr>
          <w:color w:val="0D0D0D" w:themeColor="text1" w:themeTint="F2"/>
        </w:rPr>
      </w:pPr>
      <w:r w:rsidRPr="00054335">
        <w:rPr>
          <w:color w:val="0D0D0D" w:themeColor="text1" w:themeTint="F2"/>
        </w:rPr>
        <w:t>Art. 4. - Formarea care se încheie cu certificarea sau calificarea instalatorului include atât o parte teoretică, cât şi una practică. La finalul formării, instalatorul trebuie să deţină calificările necesare pentru instalarea echipamentelor şi sistemelor relevante în scopul de a îndeplini cerinţele clientului de performanţă şi fiabilitate ale acestora, de a-şi însuşi competenţe la un înalt nivel de calitate şi de a respecta toate codurile şi standardele aplicabile, inclusiv cele referitoare la energie şi etichetare ecologică.</w:t>
      </w:r>
    </w:p>
    <w:p w14:paraId="24324E05" w14:textId="77777777" w:rsidR="00555F85" w:rsidRPr="00054335" w:rsidRDefault="00555F85" w:rsidP="00555F85">
      <w:pPr>
        <w:rPr>
          <w:color w:val="0D0D0D" w:themeColor="text1" w:themeTint="F2"/>
        </w:rPr>
      </w:pPr>
      <w:r w:rsidRPr="00054335">
        <w:rPr>
          <w:color w:val="0D0D0D" w:themeColor="text1" w:themeTint="F2"/>
        </w:rPr>
        <w:t>Art. 5. Cursul de formare se încheie cu un examen pentru obținerea unui certificat sau a unei calificări. Examenul include o probă practică de instalare corectă a cazanelor sau a sobelor pe bază de biomasă, a pompelor de căldură, a instalațiilor geotermale de mică adâncime, a instalațiilor fotovoltaice solare sau a celor termice solare, inclusiv a mijloacelor de stocare a energiei, sau a punctelor de reîncărcare, ceea ce va favoriza o reacție din partea cererii.</w:t>
      </w:r>
    </w:p>
    <w:p w14:paraId="38E7CA44" w14:textId="77777777" w:rsidR="00555F85" w:rsidRPr="00054335" w:rsidRDefault="00555F85" w:rsidP="00555F85">
      <w:pPr>
        <w:rPr>
          <w:color w:val="0D0D0D" w:themeColor="text1" w:themeTint="F2"/>
        </w:rPr>
      </w:pPr>
      <w:r w:rsidRPr="00054335">
        <w:rPr>
          <w:color w:val="0D0D0D" w:themeColor="text1" w:themeTint="F2"/>
        </w:rPr>
        <w:t>Art. 6. - Sistemele de certificare sau sistemele de calificare iau în considerare următoarele orientări:</w:t>
      </w:r>
    </w:p>
    <w:p w14:paraId="2F47723D" w14:textId="77777777" w:rsidR="00555F85" w:rsidRPr="00054335" w:rsidRDefault="00555F85" w:rsidP="00555F85">
      <w:pPr>
        <w:rPr>
          <w:color w:val="0D0D0D" w:themeColor="text1" w:themeTint="F2"/>
        </w:rPr>
      </w:pPr>
      <w:r w:rsidRPr="00054335">
        <w:rPr>
          <w:color w:val="0D0D0D" w:themeColor="text1" w:themeTint="F2"/>
        </w:rPr>
        <w:t>1. Programele de formare acreditate ar trebui oferite instalatorilor cu experienţă la locul de muncă şi care au urmat sau urmează tipurile de formare menţionate astfel:</w:t>
      </w:r>
    </w:p>
    <w:p w14:paraId="62F65856" w14:textId="77777777" w:rsidR="00555F85" w:rsidRPr="00054335" w:rsidRDefault="00555F85" w:rsidP="00555F85">
      <w:pPr>
        <w:rPr>
          <w:color w:val="0D0D0D" w:themeColor="text1" w:themeTint="F2"/>
        </w:rPr>
      </w:pPr>
      <w:r w:rsidRPr="00054335">
        <w:rPr>
          <w:color w:val="0D0D0D" w:themeColor="text1" w:themeTint="F2"/>
        </w:rPr>
        <w:t>a) în cazul instalatorilor de cazane şi cuptoare de biomasă: se cere formarea prealabilă ca instalator de apă şi canal, instalator de ţevi şi conducte, instalator de instalaţii termice sau tehnician de instalaţii sanitare şi de încălzire sau de răcire;</w:t>
      </w:r>
    </w:p>
    <w:p w14:paraId="1FA7D4B4" w14:textId="77777777" w:rsidR="00555F85" w:rsidRPr="00054335" w:rsidRDefault="00555F85" w:rsidP="00555F85">
      <w:pPr>
        <w:rPr>
          <w:color w:val="0D0D0D" w:themeColor="text1" w:themeTint="F2"/>
        </w:rPr>
      </w:pPr>
      <w:r w:rsidRPr="00054335">
        <w:rPr>
          <w:color w:val="0D0D0D" w:themeColor="text1" w:themeTint="F2"/>
        </w:rPr>
        <w:t xml:space="preserve">b) în cazul instalatorilor de pompe de căldură: se cere formarea prealabilă ca instalator de apă şi canal sau instalator de instalaţii frigorifice şi deţinerea calificării de bază ca electrician </w:t>
      </w:r>
      <w:r w:rsidRPr="00054335">
        <w:rPr>
          <w:color w:val="0D0D0D" w:themeColor="text1" w:themeTint="F2"/>
        </w:rPr>
        <w:lastRenderedPageBreak/>
        <w:t>şi instalator de apă şi canal (tăierea ţevilor, sudarea manşoanelor de ţeavă, lipirea manşoanelor de ţeavă, izolarea, etanşarea garniturilor, verificarea scurgerilor şi instalarea sistemelor de încălzire sau de răcire);</w:t>
      </w:r>
    </w:p>
    <w:p w14:paraId="0497C1BB" w14:textId="77777777" w:rsidR="00555F85" w:rsidRPr="00054335" w:rsidRDefault="00555F85" w:rsidP="00555F85">
      <w:pPr>
        <w:rPr>
          <w:color w:val="0D0D0D" w:themeColor="text1" w:themeTint="F2"/>
        </w:rPr>
      </w:pPr>
      <w:r w:rsidRPr="00054335">
        <w:rPr>
          <w:color w:val="0D0D0D" w:themeColor="text1" w:themeTint="F2"/>
        </w:rPr>
        <w:t>c) în cazul instalatorului de instalaţii termice solare sau fotovoltaice solare: se cere formarea prealabilă ca instalator de apă şi canal sau electrician, deţinerea calificării de bază ca instalator de apă şi canal, electrician şi calificare pentru lucrări de aplicare a învelişurilor în construcţii, inclusiv cunoştinţe de sudare a manşoanelor de ţeavă, lipire a manşoanelor de ţeavă, izolaţii, etanşare a garniturilor, verificare a scurgerilor la lucrările de apă şi canal, capacitate de a efectua racordări la reţea, familiarizare cu materialele de bază pentru acoperiri, metodele de descărcare în arc şi de sudare; sau</w:t>
      </w:r>
    </w:p>
    <w:p w14:paraId="4CEFC939" w14:textId="77777777" w:rsidR="00555F85" w:rsidRPr="00054335" w:rsidRDefault="00555F85" w:rsidP="00555F85">
      <w:pPr>
        <w:rPr>
          <w:color w:val="0D0D0D" w:themeColor="text1" w:themeTint="F2"/>
        </w:rPr>
      </w:pPr>
      <w:r w:rsidRPr="00054335">
        <w:rPr>
          <w:color w:val="0D0D0D" w:themeColor="text1" w:themeTint="F2"/>
        </w:rPr>
        <w:t>d) un program de formare profesională care să îi ofere unui instalator calificările specifice, echivalente cu 3 ani de instruire în calificările menţionate la lit. a), b) sau c), inclusiv învăţământ la clasă şi la locul de muncă.</w:t>
      </w:r>
    </w:p>
    <w:p w14:paraId="26076294" w14:textId="77777777" w:rsidR="00555F85" w:rsidRPr="00054335" w:rsidRDefault="00555F85" w:rsidP="00555F85">
      <w:pPr>
        <w:rPr>
          <w:color w:val="0D0D0D" w:themeColor="text1" w:themeTint="F2"/>
        </w:rPr>
      </w:pPr>
      <w:r w:rsidRPr="00054335">
        <w:rPr>
          <w:color w:val="0D0D0D" w:themeColor="text1" w:themeTint="F2"/>
        </w:rPr>
        <w:t>2. Partea teoretică a formării instalatorului pentru cuptoare şi cazane de biomasă ar trebui să ofere o privire de ansamblu a situaţiei pieţei de biomasă şi să cuprindă aspecte ecologice, combustibili din biomasă, logistică, protecţia împotriva incendiilor, dotări aferente, tehnici de ardere, sisteme de aprindere, soluţii hidraulice optime, compararea costurilor şi a rentabilităţii, precum şi proiectarea, instalarea şi întreţinerea cazanelor şi cuptoarelor de biomasă. Formarea ar trebui să asigure, de asemenea, o bună cunoaştere a standardelor europene în domeniul tehnologiei şi combustibililor din biomasă, de tipul peletelor, precum şi a legislaţiei naţionale şi comunitare referitoare la biomasă.</w:t>
      </w:r>
    </w:p>
    <w:p w14:paraId="045D9D90" w14:textId="77777777" w:rsidR="00555F85" w:rsidRPr="00054335" w:rsidRDefault="00555F85" w:rsidP="00555F85">
      <w:pPr>
        <w:rPr>
          <w:color w:val="0D0D0D" w:themeColor="text1" w:themeTint="F2"/>
        </w:rPr>
      </w:pPr>
      <w:r w:rsidRPr="00054335">
        <w:rPr>
          <w:color w:val="0D0D0D" w:themeColor="text1" w:themeTint="F2"/>
        </w:rPr>
        <w:t>3. Partea teoretică a formării instalatorilor de pompe de căldură ar trebui să ofere o privire de ansamblu asupra situației pe piața pompelor de căldură și să prezinte sursele geotermale de energie și temperaturile surselor subterane din diferite regiuni, identificarea conductibilității termice a solurilor și a rocilor, reglementările privind utilizarea surselor geotermale de energie, fezabilitatea utilizării pompelor de căldură în clădiri și determinarea celui mai potrivit sistem de pompe de căldură, precum și cunoștințe privind cerințele tehnice, siguranța, filtrarea aerului, racordarea la sursa de căldură și planul sistemului și integrarea soluțiilor de stocare a energiei, inclusiv în combinație cu instalațiile solare. Formarea ar trebui să asigure, de asemenea, o bună cunoaștere a tuturor standardelor europene pentru pompe de căldură, precum și a dreptului național și comunitar aplicabil. Instalatorul ar trebui să demonstreze că deține următoarele competențe esențiale:</w:t>
      </w:r>
    </w:p>
    <w:p w14:paraId="16724FF8" w14:textId="77777777" w:rsidR="00555F85" w:rsidRPr="00054335" w:rsidRDefault="00555F85" w:rsidP="00555F85">
      <w:pPr>
        <w:rPr>
          <w:color w:val="0D0D0D" w:themeColor="text1" w:themeTint="F2"/>
        </w:rPr>
      </w:pPr>
      <w:r w:rsidRPr="00054335">
        <w:rPr>
          <w:color w:val="0D0D0D" w:themeColor="text1" w:themeTint="F2"/>
        </w:rPr>
        <w:t>a) înţelegerea de bază a principiilor fizice şi de funcţionare a pompei de căldură, inclusiv a caracteristicilor circuitului pompei de căldură: contextul dintre temperaturile joase ale mediului absorbant de căldură, temperaturile mari ale sursei de căldură şi eficienţa sistemului, determinarea coeficientului de performanţă (COP) şi factorul de performanţă sezonieră (FPS);</w:t>
      </w:r>
    </w:p>
    <w:p w14:paraId="3A72887A" w14:textId="77777777" w:rsidR="00555F85" w:rsidRPr="00054335" w:rsidRDefault="00555F85" w:rsidP="00555F85">
      <w:pPr>
        <w:rPr>
          <w:color w:val="0D0D0D" w:themeColor="text1" w:themeTint="F2"/>
        </w:rPr>
      </w:pPr>
      <w:r w:rsidRPr="00054335">
        <w:rPr>
          <w:color w:val="0D0D0D" w:themeColor="text1" w:themeTint="F2"/>
        </w:rPr>
        <w:t>b) înţelegerea componentelor şi a funcţionării lor în cadrul circuitului pompei de căldură, cum ar fi compresorul, ventilul de destindere, evaporatorul, condensorul, armăturile şi garniturile, uleiul de ungere, refrigerentul, supraîncălzirea şi subrăcirea şi posibilităţile de răcire în cazul pompelor de căldură;</w:t>
      </w:r>
    </w:p>
    <w:p w14:paraId="56EA90AD" w14:textId="77777777" w:rsidR="00555F85" w:rsidRPr="00054335" w:rsidRDefault="00555F85" w:rsidP="00555F85">
      <w:pPr>
        <w:rPr>
          <w:color w:val="0D0D0D" w:themeColor="text1" w:themeTint="F2"/>
        </w:rPr>
      </w:pPr>
      <w:r w:rsidRPr="00054335">
        <w:rPr>
          <w:color w:val="0D0D0D" w:themeColor="text1" w:themeTint="F2"/>
        </w:rPr>
        <w:t xml:space="preserve">c) capacitatea de a alege și de a dimensiona componentele în situații tipice de instalare, inclusiv de a determina valorile tipice ale sarcinii termice pentru diferite clădiri și pentru producerea </w:t>
      </w:r>
      <w:r w:rsidRPr="00054335">
        <w:rPr>
          <w:color w:val="0D0D0D" w:themeColor="text1" w:themeTint="F2"/>
        </w:rPr>
        <w:lastRenderedPageBreak/>
        <w:t>apei calde pe baza consumului de energie, de a determina capacitatea pompei de căldură privind sarcina termică pentru producerea apei calde, privind masa de stocare a clădirii și privind asigurarea neîntreruptă cu curent electric; de a determina soluțiile de stocare a energiei, inclusiv prin intermediul rezervorului tampon și al volumului acestuia și integrarea unui al doilea sistem de încălzire;</w:t>
      </w:r>
    </w:p>
    <w:p w14:paraId="7FBD2D50" w14:textId="77777777" w:rsidR="00555F85" w:rsidRPr="00054335" w:rsidRDefault="00555F85" w:rsidP="00555F85">
      <w:pPr>
        <w:rPr>
          <w:color w:val="0D0D0D" w:themeColor="text1" w:themeTint="F2"/>
        </w:rPr>
      </w:pPr>
      <w:r w:rsidRPr="00054335">
        <w:rPr>
          <w:color w:val="0D0D0D" w:themeColor="text1" w:themeTint="F2"/>
        </w:rPr>
        <w:t>d) înțelegere a studiilor de fezabilitate și de proiectare;</w:t>
      </w:r>
    </w:p>
    <w:p w14:paraId="1780488E" w14:textId="77777777" w:rsidR="00555F85" w:rsidRPr="00054335" w:rsidRDefault="00555F85" w:rsidP="00555F85">
      <w:pPr>
        <w:rPr>
          <w:color w:val="0D0D0D" w:themeColor="text1" w:themeTint="F2"/>
        </w:rPr>
      </w:pPr>
      <w:r w:rsidRPr="00054335">
        <w:rPr>
          <w:color w:val="0D0D0D" w:themeColor="text1" w:themeTint="F2"/>
        </w:rPr>
        <w:t>e) înțelegere a forajului, în cazul pompelor de căldură geotermale.</w:t>
      </w:r>
    </w:p>
    <w:p w14:paraId="2F6C380B" w14:textId="77777777" w:rsidR="00555F85" w:rsidRPr="00054335" w:rsidRDefault="00555F85" w:rsidP="00555F85">
      <w:pPr>
        <w:rPr>
          <w:color w:val="0D0D0D" w:themeColor="text1" w:themeTint="F2"/>
        </w:rPr>
      </w:pPr>
      <w:r w:rsidRPr="00054335">
        <w:rPr>
          <w:color w:val="0D0D0D" w:themeColor="text1" w:themeTint="F2"/>
        </w:rPr>
        <w:t>4. Partea teoretică a formării instalatorilor pentru instalațiile fotovoltaice solare și cele termice solare ar trebui să ofere o privire de ansamblu asupra situației de pe piața produselor solare și o comparație între costuri și profitabilitate și să cuprindă aspecte ecologice, componentele, caracteristicile și dimensionarea sistemelor care utilizează energia solară, selectarea de sisteme precise și dimensionarea componentelor, determinarea necesarului de căldură, opțiuni pentru integrarea soluțiilor de stocare a energiei, protecția împotriva incendiilor, subvențiile aferente, precum și proiectarea, instalarea și întreținerea instalațiilor fotovoltaice solare și a celor termice solare. Formarea ar trebui să asigure, de asemenea, o bună cunoaștere a tuturor standardelor europene privind tehnologia și certificarea, cum ar fi Solar Keymark, precum și a dreptului național și comunitar aplicabil. Instalatorul trebuie să demonstreze că deține următoarele competențe esențiale:</w:t>
      </w:r>
    </w:p>
    <w:p w14:paraId="65AECA45" w14:textId="77777777" w:rsidR="00555F85" w:rsidRPr="00054335" w:rsidRDefault="00555F85" w:rsidP="00555F85">
      <w:pPr>
        <w:rPr>
          <w:color w:val="0D0D0D" w:themeColor="text1" w:themeTint="F2"/>
        </w:rPr>
      </w:pPr>
      <w:r w:rsidRPr="00054335">
        <w:rPr>
          <w:color w:val="0D0D0D" w:themeColor="text1" w:themeTint="F2"/>
        </w:rPr>
        <w:t>a) capacitatea de a lucra în condiţii de siguranţă, utilizând echipamentul şi uneltele necesare şi punând în aplicare codurile şi standardele de siguranţă şi capacitatea de a identifica pericolele legate de lucrările de energie electrică, apă şi canal, precum şi pericolele de altă natură asociate instalaţiilor solare;</w:t>
      </w:r>
    </w:p>
    <w:p w14:paraId="7D92B5D2" w14:textId="77777777" w:rsidR="00555F85" w:rsidRPr="00054335" w:rsidRDefault="00555F85" w:rsidP="00555F85">
      <w:pPr>
        <w:rPr>
          <w:color w:val="0D0D0D" w:themeColor="text1" w:themeTint="F2"/>
        </w:rPr>
      </w:pPr>
      <w:r w:rsidRPr="00054335">
        <w:rPr>
          <w:color w:val="0D0D0D" w:themeColor="text1" w:themeTint="F2"/>
        </w:rPr>
        <w:t>b) capacitatea de a identifica sistemele și componentele lor specifice pentru sistemele active și pasive, inclusiv proiectarea lor mecanică, și de a determina amplasarea componentelor, planul și configurația sistemului și opțiunile pentru integrarea soluțiilor de stocare a energiei, inclusiv în combinație cu stații de reîncărcare;</w:t>
      </w:r>
    </w:p>
    <w:p w14:paraId="005623B1" w14:textId="77777777" w:rsidR="00555F85" w:rsidRPr="00054335" w:rsidRDefault="00555F85" w:rsidP="00555F85">
      <w:pPr>
        <w:rPr>
          <w:color w:val="0D0D0D" w:themeColor="text1" w:themeTint="F2"/>
        </w:rPr>
      </w:pPr>
      <w:r w:rsidRPr="00054335">
        <w:rPr>
          <w:color w:val="0D0D0D" w:themeColor="text1" w:themeTint="F2"/>
        </w:rPr>
        <w:t>c) capacitatea de a determina zona necesară pentru instalare, orientarea şi înclinarea încălzitorului de apă solar şi ale celui fotovoltaic solar, ţinând cont de umbră, de accesul solar, de integritatea structurală, de oportunitatea instalării din punctul de vedere al clădirii sau climei şi de identificarea diferitelor metode de instalare potrivite pentru tipurile de acoperiş şi proporţia echipamentelor necesare pentru instalare în cadrul sistemului; şi</w:t>
      </w:r>
    </w:p>
    <w:p w14:paraId="03A3EE15" w14:textId="77777777" w:rsidR="00555F85" w:rsidRPr="00054335" w:rsidRDefault="00555F85" w:rsidP="00555F85">
      <w:pPr>
        <w:rPr>
          <w:color w:val="0D0D0D" w:themeColor="text1" w:themeTint="F2"/>
        </w:rPr>
      </w:pPr>
      <w:r w:rsidRPr="00054335">
        <w:rPr>
          <w:color w:val="0D0D0D" w:themeColor="text1" w:themeTint="F2"/>
        </w:rPr>
        <w:t>d) în special, pentru sistemele fotovoltaice solare, capacitatea de adaptare a schemei electrice, inclusiv determinarea curenţilor nominali proiectaţi, selectarea tipurilor corespunzătoare de conductori şi a valorilor nominale corespunzătoare pentru fiecare circuit electric, determinarea dimensiunii corespunzătoare, a valorilor nominale şi a locaţiilor pentru echipamentele şi subsistemele aferente şi selectarea unui punct corespunzător de interconectare.</w:t>
      </w:r>
    </w:p>
    <w:p w14:paraId="42F1589F" w14:textId="5E57E407" w:rsidR="00831398" w:rsidRDefault="00555F85" w:rsidP="00555F85">
      <w:pPr>
        <w:rPr>
          <w:color w:val="0D0D0D" w:themeColor="text1" w:themeTint="F2"/>
        </w:rPr>
      </w:pPr>
      <w:r w:rsidRPr="00054335">
        <w:rPr>
          <w:color w:val="0D0D0D" w:themeColor="text1" w:themeTint="F2"/>
        </w:rPr>
        <w:t>5. Certificarea instalatorilor este limitată în timp, astfel încât se recomandă un seminar sau un curs de perfecţionare pentru a se asigura continuitatea certificării.</w:t>
      </w:r>
    </w:p>
    <w:p w14:paraId="6CD3BE93" w14:textId="77777777" w:rsidR="00831398" w:rsidRDefault="00831398">
      <w:pPr>
        <w:spacing w:before="0" w:line="240" w:lineRule="auto"/>
        <w:ind w:left="0" w:firstLine="0"/>
        <w:jc w:val="left"/>
        <w:rPr>
          <w:color w:val="0D0D0D" w:themeColor="text1" w:themeTint="F2"/>
        </w:rPr>
      </w:pPr>
      <w:r>
        <w:rPr>
          <w:color w:val="0D0D0D" w:themeColor="text1" w:themeTint="F2"/>
        </w:rPr>
        <w:br w:type="page"/>
      </w:r>
    </w:p>
    <w:p w14:paraId="3FE1AE6E" w14:textId="77777777" w:rsidR="00555F85" w:rsidRPr="00054335" w:rsidRDefault="00555F85" w:rsidP="00555F85">
      <w:pPr>
        <w:rPr>
          <w:b/>
          <w:bCs/>
          <w:color w:val="0D0D0D" w:themeColor="text1" w:themeTint="F2"/>
        </w:rPr>
      </w:pPr>
      <w:r w:rsidRPr="00054335">
        <w:rPr>
          <w:b/>
          <w:bCs/>
          <w:color w:val="0D0D0D" w:themeColor="text1" w:themeTint="F2"/>
        </w:rPr>
        <w:lastRenderedPageBreak/>
        <w:t>Articolul III</w:t>
      </w:r>
    </w:p>
    <w:p w14:paraId="4FED7D6A" w14:textId="77777777" w:rsidR="00555F85" w:rsidRPr="00054335" w:rsidRDefault="00555F85" w:rsidP="00555F85">
      <w:pPr>
        <w:rPr>
          <w:b/>
          <w:bCs/>
          <w:color w:val="0D0D0D" w:themeColor="text1" w:themeTint="F2"/>
        </w:rPr>
      </w:pPr>
      <w:r w:rsidRPr="00054335">
        <w:rPr>
          <w:b/>
          <w:bCs/>
          <w:color w:val="0D0D0D" w:themeColor="text1" w:themeTint="F2"/>
        </w:rPr>
        <w:t>OUG 80/2018 pentru stabilirea condiţiilor de introducere pe piaţă a combustibililor lichizi şi gazoşi, de introducere a unui mecanism de monitorizare şi reducere a emisiilor de gaze cu efect de seră şi de stabilire a metodelor de calcul şi de raportare a reducerii emisiilor de gaze cu efect de seră şi pentru modificarea şi completarea Legii nr. 220/2008 pentru stabilirea sistemului de promovare a producerii energiei din surse regenerabile de energiese modifică și se completează după cum urmează:</w:t>
      </w:r>
    </w:p>
    <w:p w14:paraId="64F121F9" w14:textId="77777777" w:rsidR="00555F85" w:rsidRPr="00054335" w:rsidRDefault="00555F85" w:rsidP="00555F85">
      <w:pPr>
        <w:pStyle w:val="ListParagraph"/>
        <w:numPr>
          <w:ilvl w:val="0"/>
          <w:numId w:val="194"/>
        </w:numPr>
        <w:spacing w:before="0" w:after="200"/>
        <w:rPr>
          <w:b/>
          <w:bCs/>
          <w:color w:val="0D0D0D" w:themeColor="text1" w:themeTint="F2"/>
        </w:rPr>
      </w:pPr>
      <w:r w:rsidRPr="00054335">
        <w:rPr>
          <w:b/>
          <w:bCs/>
          <w:color w:val="0D0D0D" w:themeColor="text1" w:themeTint="F2"/>
        </w:rPr>
        <w:t>Articolul 1  alin. (2) se modifică și va avea următorul cuprins:</w:t>
      </w:r>
    </w:p>
    <w:p w14:paraId="11B13ED4" w14:textId="77777777" w:rsidR="00555F85" w:rsidRPr="00054335" w:rsidRDefault="00555F85" w:rsidP="00555F85">
      <w:pPr>
        <w:pStyle w:val="ListParagraph"/>
        <w:rPr>
          <w:bCs/>
          <w:color w:val="0D0D0D" w:themeColor="text1" w:themeTint="F2"/>
        </w:rPr>
      </w:pPr>
      <w:r w:rsidRPr="00054335">
        <w:rPr>
          <w:bCs/>
          <w:color w:val="0D0D0D" w:themeColor="text1" w:themeTint="F2"/>
        </w:rPr>
        <w:t>Prevederile prezentei ordonanţe de urgenţă se aplică vehiculelor rutiere și utilajelor mobile nerutiere, inclusiv navelor de navigație interioară atunci când nu se află pe mare, tractoarelor agricole și forestiere, precum și ambarcațiunilor de agrement atunci când nu se află pe mare, stabilindu-se specificații tehnice bazate pe considerente de sănătate și de mediu pentru carburanții care sunt folosiți pentru motoare cu aprindere prin scânteie și motoare cu aprindere prin compresie, ținând seama de cerințele tehnice ale acestor motoare.</w:t>
      </w:r>
    </w:p>
    <w:p w14:paraId="57C3F7AC" w14:textId="77777777" w:rsidR="00555F85" w:rsidRPr="00054335" w:rsidRDefault="00555F85" w:rsidP="00555F85">
      <w:pPr>
        <w:pStyle w:val="ListParagraph"/>
        <w:rPr>
          <w:bCs/>
          <w:color w:val="0D0D0D" w:themeColor="text1" w:themeTint="F2"/>
        </w:rPr>
      </w:pPr>
    </w:p>
    <w:p w14:paraId="14016538" w14:textId="77777777" w:rsidR="00555F85" w:rsidRPr="00054335" w:rsidRDefault="00555F85" w:rsidP="00555F85">
      <w:pPr>
        <w:pStyle w:val="ListParagraph"/>
        <w:numPr>
          <w:ilvl w:val="0"/>
          <w:numId w:val="194"/>
        </w:numPr>
        <w:spacing w:before="0" w:after="200"/>
        <w:rPr>
          <w:b/>
          <w:bCs/>
          <w:color w:val="0D0D0D" w:themeColor="text1" w:themeTint="F2"/>
        </w:rPr>
      </w:pPr>
      <w:r w:rsidRPr="00054335">
        <w:rPr>
          <w:b/>
          <w:bCs/>
          <w:color w:val="0D0D0D" w:themeColor="text1" w:themeTint="F2"/>
        </w:rPr>
        <w:t>Se modifică art. 5 alin. (7) și va avea următorul cuprins:</w:t>
      </w:r>
    </w:p>
    <w:p w14:paraId="1494BFC2" w14:textId="77777777" w:rsidR="00555F85" w:rsidRPr="00054335" w:rsidRDefault="00555F85" w:rsidP="00555F85">
      <w:pPr>
        <w:pStyle w:val="ListParagraph"/>
        <w:rPr>
          <w:color w:val="0D0D0D" w:themeColor="text1" w:themeTint="F2"/>
        </w:rPr>
      </w:pPr>
      <w:r w:rsidRPr="00054335">
        <w:rPr>
          <w:color w:val="0D0D0D" w:themeColor="text1" w:themeTint="F2"/>
        </w:rPr>
        <w:t>Motorina destinată utilizării de către utilajele mobile nerutiere, inclusiv navele de navigație interioară, de către tractoarele agricole și forestiere și de către ambarcațiunile de agrement, poate fi introdusă pe piață și/sau comercializată în cazul în care conținutul de sulf al carburanților lichizi respectivi nu depășește 10 mg/kg.</w:t>
      </w:r>
    </w:p>
    <w:p w14:paraId="298D219C" w14:textId="77777777" w:rsidR="00555F85" w:rsidRPr="00054335" w:rsidRDefault="00555F85" w:rsidP="00555F85">
      <w:pPr>
        <w:pStyle w:val="ListParagraph"/>
        <w:rPr>
          <w:color w:val="0D0D0D" w:themeColor="text1" w:themeTint="F2"/>
        </w:rPr>
      </w:pPr>
    </w:p>
    <w:p w14:paraId="264F36FD" w14:textId="77777777" w:rsidR="00555F85" w:rsidRPr="00054335" w:rsidRDefault="00555F85" w:rsidP="00555F85">
      <w:pPr>
        <w:pStyle w:val="ListParagraph"/>
        <w:numPr>
          <w:ilvl w:val="0"/>
          <w:numId w:val="194"/>
        </w:numPr>
        <w:spacing w:before="0" w:after="200"/>
        <w:rPr>
          <w:b/>
          <w:bCs/>
          <w:color w:val="0D0D0D" w:themeColor="text1" w:themeTint="F2"/>
        </w:rPr>
      </w:pPr>
      <w:r w:rsidRPr="00054335">
        <w:rPr>
          <w:b/>
          <w:bCs/>
          <w:color w:val="0D0D0D" w:themeColor="text1" w:themeTint="F2"/>
        </w:rPr>
        <w:t>Se abrogă articolul 11 alin. (4) - (10).</w:t>
      </w:r>
    </w:p>
    <w:p w14:paraId="47FD4F2B" w14:textId="77777777" w:rsidR="00555F85" w:rsidRPr="00054335" w:rsidRDefault="00555F85" w:rsidP="00555F85">
      <w:pPr>
        <w:pStyle w:val="ListParagraph"/>
        <w:rPr>
          <w:b/>
          <w:bCs/>
          <w:color w:val="0D0D0D" w:themeColor="text1" w:themeTint="F2"/>
        </w:rPr>
      </w:pPr>
    </w:p>
    <w:p w14:paraId="5BD2F47E" w14:textId="77777777" w:rsidR="00555F85" w:rsidRPr="00054335" w:rsidRDefault="00555F85" w:rsidP="00555F85">
      <w:pPr>
        <w:pStyle w:val="ListParagraph"/>
        <w:numPr>
          <w:ilvl w:val="0"/>
          <w:numId w:val="194"/>
        </w:numPr>
        <w:spacing w:before="0" w:after="200"/>
        <w:rPr>
          <w:b/>
          <w:bCs/>
          <w:color w:val="0D0D0D" w:themeColor="text1" w:themeTint="F2"/>
        </w:rPr>
      </w:pPr>
      <w:r w:rsidRPr="00054335">
        <w:rPr>
          <w:b/>
          <w:bCs/>
          <w:color w:val="0D0D0D" w:themeColor="text1" w:themeTint="F2"/>
        </w:rPr>
        <w:t>La art. 12 se modifică alin. (8) și va avea următorul cuprins:</w:t>
      </w:r>
    </w:p>
    <w:p w14:paraId="46FA77BD" w14:textId="77777777" w:rsidR="00555F85" w:rsidRPr="00054335" w:rsidRDefault="00555F85" w:rsidP="00555F85">
      <w:pPr>
        <w:pStyle w:val="ListParagraph"/>
        <w:rPr>
          <w:bCs/>
          <w:color w:val="0D0D0D" w:themeColor="text1" w:themeTint="F2"/>
        </w:rPr>
      </w:pPr>
      <w:r w:rsidRPr="00054335">
        <w:rPr>
          <w:bCs/>
          <w:color w:val="0D0D0D" w:themeColor="text1" w:themeTint="F2"/>
        </w:rPr>
        <w:t>a) În cazul în care un furnizor introduce pe piaţă biocarburanţi proveniţi din ţări terţe cu care Uniunea Europeană a încheiat acorduri bilaterale sau multilaterale care cuprind dispoziţii privind criteriile de durabilitate ori pentru care Comisia Europeană a decis că sistemele voluntare aplicate în aceste ţări stabilesc standarde de producţie a produselor din biomasă cu respectarea criteriilor de durabilitate, nu se solicită alte dovezi de respectare a criteriilor de durabilitate.</w:t>
      </w:r>
    </w:p>
    <w:p w14:paraId="11D07211" w14:textId="77777777" w:rsidR="00555F85" w:rsidRPr="00054335" w:rsidRDefault="00555F85" w:rsidP="00555F85">
      <w:pPr>
        <w:pStyle w:val="ListParagraph"/>
        <w:rPr>
          <w:bCs/>
          <w:color w:val="0D0D0D" w:themeColor="text1" w:themeTint="F2"/>
        </w:rPr>
      </w:pPr>
      <w:r w:rsidRPr="00054335">
        <w:rPr>
          <w:bCs/>
          <w:color w:val="0D0D0D" w:themeColor="text1" w:themeTint="F2"/>
        </w:rPr>
        <w:t>b)</w:t>
      </w:r>
      <w:r w:rsidRPr="00054335">
        <w:rPr>
          <w:bCs/>
          <w:color w:val="0D0D0D" w:themeColor="text1" w:themeTint="F2"/>
        </w:rPr>
        <w:tab/>
        <w:t>În cazul în care un operator economic furnizează dovezi sau date obținute în conformitate cu un sistem care a făcut obiectul unei decizii adoptate în temeiul alineatului 10 art 30 al OUG 163/2022, Ministerul Energiei nu impune operatorului economic să furnizeze alte dovezi de respectare a elementelor vizate de sistem pentru care sistemul a fost recunoscut de Comisie.</w:t>
      </w:r>
    </w:p>
    <w:p w14:paraId="04B4B8F1" w14:textId="77777777" w:rsidR="00555F85" w:rsidRPr="00054335" w:rsidRDefault="00555F85" w:rsidP="00555F85">
      <w:pPr>
        <w:pStyle w:val="ListParagraph"/>
        <w:rPr>
          <w:bCs/>
          <w:color w:val="0D0D0D" w:themeColor="text1" w:themeTint="F2"/>
        </w:rPr>
      </w:pPr>
    </w:p>
    <w:p w14:paraId="2427A2F6" w14:textId="77777777" w:rsidR="00555F85" w:rsidRPr="00054335" w:rsidRDefault="00555F85" w:rsidP="00555F85">
      <w:pPr>
        <w:pStyle w:val="ListParagraph"/>
        <w:numPr>
          <w:ilvl w:val="0"/>
          <w:numId w:val="194"/>
        </w:numPr>
        <w:spacing w:before="0" w:after="200"/>
        <w:rPr>
          <w:b/>
          <w:bCs/>
          <w:color w:val="0D0D0D" w:themeColor="text1" w:themeTint="F2"/>
        </w:rPr>
      </w:pPr>
      <w:r w:rsidRPr="00054335">
        <w:rPr>
          <w:b/>
          <w:bCs/>
          <w:color w:val="0D0D0D" w:themeColor="text1" w:themeTint="F2"/>
        </w:rPr>
        <w:t>Se abrogă Anexa nr. 1.</w:t>
      </w:r>
    </w:p>
    <w:p w14:paraId="1FA36DB1" w14:textId="77777777" w:rsidR="00555F85" w:rsidRPr="00054335" w:rsidRDefault="00555F85" w:rsidP="00555F85">
      <w:pPr>
        <w:pStyle w:val="ListParagraph"/>
        <w:numPr>
          <w:ilvl w:val="0"/>
          <w:numId w:val="194"/>
        </w:numPr>
        <w:spacing w:before="0" w:after="200"/>
        <w:rPr>
          <w:b/>
          <w:bCs/>
          <w:color w:val="0D0D0D" w:themeColor="text1" w:themeTint="F2"/>
        </w:rPr>
      </w:pPr>
      <w:r w:rsidRPr="00054335">
        <w:rPr>
          <w:b/>
          <w:bCs/>
          <w:color w:val="0D0D0D" w:themeColor="text1" w:themeTint="F2"/>
        </w:rPr>
        <w:t>În Anexa nr. 2, se modifică notele de subsol 1, 2 și 6 și vor avea următorul cuprins:</w:t>
      </w:r>
    </w:p>
    <w:p w14:paraId="5BB3ED3A" w14:textId="77777777" w:rsidR="00555F85" w:rsidRPr="00054335" w:rsidRDefault="00555F85" w:rsidP="00555F85">
      <w:pPr>
        <w:rPr>
          <w:b/>
          <w:bCs/>
          <w:color w:val="0D0D0D" w:themeColor="text1" w:themeTint="F2"/>
        </w:rPr>
      </w:pPr>
      <w:r w:rsidRPr="00054335">
        <w:rPr>
          <w:b/>
          <w:bCs/>
          <w:color w:val="0D0D0D" w:themeColor="text1" w:themeTint="F2"/>
        </w:rPr>
        <w:t xml:space="preserve">Nota de subsol 1 </w:t>
      </w:r>
    </w:p>
    <w:p w14:paraId="4D32F986" w14:textId="77777777" w:rsidR="00555F85" w:rsidRPr="00054335" w:rsidRDefault="00555F85" w:rsidP="00831398">
      <w:pPr>
        <w:ind w:firstLine="0"/>
        <w:rPr>
          <w:color w:val="0D0D0D" w:themeColor="text1" w:themeTint="F2"/>
        </w:rPr>
      </w:pPr>
      <w:r w:rsidRPr="00054335">
        <w:rPr>
          <w:color w:val="0D0D0D" w:themeColor="text1" w:themeTint="F2"/>
        </w:rPr>
        <w:t>Metodele de testare sunt cele specificate în EN 228:2012+A1:2017. Statele membre pot adopta metoda analitică specificată în standardul de înlocuire EN 228:2012+A1:2017, dacă se poate demonstra că aceasta oferă cel puțin aceeași precizie ca metoda analitică pe care o înlocuiește.</w:t>
      </w:r>
    </w:p>
    <w:p w14:paraId="379B6910" w14:textId="77777777" w:rsidR="00555F85" w:rsidRPr="00054335" w:rsidRDefault="00555F85" w:rsidP="00555F85">
      <w:pPr>
        <w:rPr>
          <w:b/>
          <w:bCs/>
          <w:color w:val="0D0D0D" w:themeColor="text1" w:themeTint="F2"/>
        </w:rPr>
      </w:pPr>
      <w:r w:rsidRPr="00054335">
        <w:rPr>
          <w:b/>
          <w:bCs/>
          <w:color w:val="0D0D0D" w:themeColor="text1" w:themeTint="F2"/>
        </w:rPr>
        <w:lastRenderedPageBreak/>
        <w:t xml:space="preserve">Nota de subsol 2 </w:t>
      </w:r>
    </w:p>
    <w:p w14:paraId="601A6D6B" w14:textId="77777777" w:rsidR="00555F85" w:rsidRPr="00054335" w:rsidRDefault="00555F85" w:rsidP="00555F85">
      <w:pPr>
        <w:rPr>
          <w:color w:val="0D0D0D" w:themeColor="text1" w:themeTint="F2"/>
        </w:rPr>
      </w:pPr>
      <w:r w:rsidRPr="00054335">
        <w:rPr>
          <w:color w:val="0D0D0D" w:themeColor="text1" w:themeTint="F2"/>
        </w:rPr>
        <w:t>Valorile menționate în specificație sunt «valori reale». La stabilirea valorilor lor limită, s-au aplicat termenii EN ISO 4259-1:2017/A1:2021 «Produse petroliere și produse înrudite. Fidelitatea metodelor de măsurare și a rezultatelor – Partea 1: Determinarea valorilor de fidelitate referitoare la metodele de încercare», iar pentru stabilirea unei valori minime s-a luat în considerare o diferență minimă de 2R peste zero (R = reproductibilitatea). Rezultatele măsurărilor individuale se interpretează pe baza criteriilor descrise în EN ISO 4259-2:2017/A1:2019.</w:t>
      </w:r>
    </w:p>
    <w:p w14:paraId="70E47D35" w14:textId="77777777" w:rsidR="00555F85" w:rsidRPr="00054335" w:rsidRDefault="00555F85" w:rsidP="00555F85">
      <w:pPr>
        <w:rPr>
          <w:b/>
          <w:bCs/>
          <w:color w:val="0D0D0D" w:themeColor="text1" w:themeTint="F2"/>
        </w:rPr>
      </w:pPr>
      <w:r w:rsidRPr="00054335">
        <w:rPr>
          <w:b/>
          <w:bCs/>
          <w:color w:val="0D0D0D" w:themeColor="text1" w:themeTint="F2"/>
        </w:rPr>
        <w:t xml:space="preserve">Nota de subsol 6 </w:t>
      </w:r>
    </w:p>
    <w:p w14:paraId="08A44435" w14:textId="77777777" w:rsidR="00555F85" w:rsidRPr="00054335" w:rsidRDefault="00555F85" w:rsidP="00831398">
      <w:pPr>
        <w:ind w:hanging="58"/>
        <w:rPr>
          <w:color w:val="0D0D0D" w:themeColor="text1" w:themeTint="F2"/>
        </w:rPr>
      </w:pPr>
      <w:r w:rsidRPr="00054335">
        <w:rPr>
          <w:color w:val="0D0D0D" w:themeColor="text1" w:themeTint="F2"/>
        </w:rPr>
        <w:t>Alți mono-alcooli și eteri cu un punct final de fierbere care nu îl depășește pe cel menționat în EN 228:2012 +A1:2017.</w:t>
      </w:r>
    </w:p>
    <w:p w14:paraId="20D952BD" w14:textId="77777777" w:rsidR="00555F85" w:rsidRPr="00054335" w:rsidRDefault="00555F85" w:rsidP="00555F85">
      <w:pPr>
        <w:pStyle w:val="ListParagraph"/>
        <w:numPr>
          <w:ilvl w:val="0"/>
          <w:numId w:val="194"/>
        </w:numPr>
        <w:spacing w:before="0" w:after="200"/>
        <w:rPr>
          <w:b/>
          <w:bCs/>
        </w:rPr>
      </w:pPr>
      <w:r w:rsidRPr="00054335">
        <w:rPr>
          <w:b/>
          <w:bCs/>
        </w:rPr>
        <w:t>În Anexa nr. 3, se modifică notele de subsol 1, 2 și 4 și ultimul rând din tabel și vor avea următorul cuprins:</w:t>
      </w:r>
    </w:p>
    <w:p w14:paraId="4C47D9F3" w14:textId="77777777" w:rsidR="00555F85" w:rsidRPr="00054335" w:rsidRDefault="00555F85" w:rsidP="00555F85">
      <w:pPr>
        <w:rPr>
          <w:b/>
          <w:bCs/>
        </w:rPr>
      </w:pPr>
      <w:r w:rsidRPr="00054335">
        <w:rPr>
          <w:b/>
          <w:bCs/>
        </w:rPr>
        <w:t>Nota de subsol 1</w:t>
      </w:r>
    </w:p>
    <w:p w14:paraId="7B812F71" w14:textId="77777777" w:rsidR="00555F85" w:rsidRPr="00054335" w:rsidRDefault="00555F85" w:rsidP="00831398">
      <w:pPr>
        <w:ind w:firstLine="0"/>
      </w:pPr>
      <w:r w:rsidRPr="00054335">
        <w:t>Metodele de testare sunt cele specificate în EN 590:2013+A1:2017. Statele membre pot adopta metoda analitică specificată în standardul de înlocuire EN 590:2013+A1:2017, dacă se poate demonstra că aceasta oferă cel puțin aceeași precizie ca metoda analitică pe care o înlocuiește.</w:t>
      </w:r>
    </w:p>
    <w:p w14:paraId="2605FF08" w14:textId="77777777" w:rsidR="00555F85" w:rsidRPr="00054335" w:rsidRDefault="00555F85" w:rsidP="00555F85">
      <w:pPr>
        <w:rPr>
          <w:b/>
          <w:bCs/>
        </w:rPr>
      </w:pPr>
      <w:r w:rsidRPr="00054335">
        <w:rPr>
          <w:b/>
          <w:bCs/>
        </w:rPr>
        <w:t xml:space="preserve">Nota de subsol 2 </w:t>
      </w:r>
    </w:p>
    <w:p w14:paraId="4F15AED8" w14:textId="77777777" w:rsidR="00555F85" w:rsidRPr="00054335" w:rsidRDefault="00555F85" w:rsidP="00831398">
      <w:pPr>
        <w:ind w:firstLine="0"/>
      </w:pPr>
      <w:r w:rsidRPr="00054335">
        <w:t>Valorile menționate în specificație sunt «valori reale». La stabilirea valorilor  limită, s-au aplicat termenii EN ISO 4259-1:2017/A1:2021 «Produse petroliere și produse înrudite. Fidelitatea metodelor de măsurare și a rezultatelor – Partea 1: Determinarea valorilor de fidelitate referitoare la metodele de încercare», iar pentru stabilirea unei valori minime s-a luat în considerare o diferență minimă de 2R peste zero (R = reproductibilitatea). Rezultatele măsurărilor individuale se interpretează pe baza criteriilor descrise în EN ISO 4259-2:2017/A1:2019.</w:t>
      </w:r>
    </w:p>
    <w:p w14:paraId="0DE1859D" w14:textId="77777777" w:rsidR="00555F85" w:rsidRPr="00054335" w:rsidRDefault="00555F85" w:rsidP="00555F85">
      <w:pPr>
        <w:rPr>
          <w:b/>
          <w:bCs/>
        </w:rPr>
      </w:pPr>
      <w:r w:rsidRPr="00054335">
        <w:rPr>
          <w:b/>
          <w:bCs/>
        </w:rPr>
        <w:t>Nota de subsol 4</w:t>
      </w:r>
    </w:p>
    <w:p w14:paraId="1FCF9627" w14:textId="77777777" w:rsidR="00555F85" w:rsidRPr="00054335" w:rsidRDefault="00555F85" w:rsidP="00831398">
      <w:pPr>
        <w:ind w:firstLine="0"/>
      </w:pPr>
      <w:r w:rsidRPr="00054335">
        <w:t>Se permite introducerea pe piață a motorinei diesel cu un conținut de esteri metilici ai acizilor grași (EMAG) de până la 7%.</w:t>
      </w:r>
    </w:p>
    <w:p w14:paraId="79C01FE5" w14:textId="77777777" w:rsidR="00555F85" w:rsidRPr="00083F72" w:rsidRDefault="00555F85" w:rsidP="00555F85">
      <w:r w:rsidRPr="00054335">
        <w:rPr>
          <w:b/>
          <w:bCs/>
        </w:rPr>
        <w:t>În ultimul rând din tabel</w:t>
      </w:r>
      <w:r w:rsidRPr="00054335">
        <w:t>, „Conținutul de FAME – EN 14078”, intrarea din ultima coloană „Limite” „Maxime”, „7,0” se înlocuiește cu „10,0</w:t>
      </w:r>
      <w:r w:rsidRPr="00083F72">
        <w:t>”.</w:t>
      </w:r>
    </w:p>
    <w:p w14:paraId="5A948A34" w14:textId="77777777" w:rsidR="00555F85" w:rsidRPr="00054335" w:rsidRDefault="00555F85" w:rsidP="00555F85">
      <w:pPr>
        <w:rPr>
          <w:b/>
          <w:bCs/>
        </w:rPr>
      </w:pPr>
      <w:r w:rsidRPr="00054335">
        <w:rPr>
          <w:b/>
          <w:bCs/>
        </w:rPr>
        <w:t>4. Se modifică Anexa 6, partea C, punctele 6, 15 și 18 și vor avea următorul cuprins:</w:t>
      </w:r>
    </w:p>
    <w:p w14:paraId="0F86CA08" w14:textId="77777777" w:rsidR="00555F85" w:rsidRPr="00054335" w:rsidRDefault="00555F85" w:rsidP="00555F85">
      <w:pPr>
        <w:rPr>
          <w:color w:val="0D0D0D" w:themeColor="text1" w:themeTint="F2"/>
        </w:rPr>
      </w:pPr>
      <w:r w:rsidRPr="00054335">
        <w:rPr>
          <w:color w:val="0D0D0D" w:themeColor="text1" w:themeTint="F2"/>
        </w:rPr>
        <w:t>6. Pentru calculul menționat la punctul 1 litera (a), reducerile emisiilor de gaze cu efect de seră provenite din îmbunătățirea gestionării în agricultură, e</w:t>
      </w:r>
      <w:r w:rsidRPr="00054335">
        <w:rPr>
          <w:color w:val="0D0D0D" w:themeColor="text1" w:themeTint="F2"/>
          <w:vertAlign w:val="subscript"/>
        </w:rPr>
        <w:t>sca</w:t>
      </w:r>
      <w:r w:rsidRPr="00054335">
        <w:rPr>
          <w:color w:val="0D0D0D" w:themeColor="text1" w:themeTint="F2"/>
        </w:rPr>
        <w:t xml:space="preserve">, cum ar fi trecerea la aratul de conservare sau la semănarea direct în miriște, îmbunătățirea culturilor și a sistemului de rotație a culturilor, utilizarea culturilor de protecție, inclusiv gestionarea reziduurilor de culturi, precum și utilizarea unui ameliorator organic de soluri, precum compost și digestat fermentat din gunoi de grajd, se ia în considerare doar în cazul în care nu există riscul ca acestea să aibă un efect negativ asupra biodiversității. În plus, se furnizează dovezi solide și verificabile cu privire la creșterea cantității de carbon din sol sau dacă se poate presupune </w:t>
      </w:r>
      <w:r w:rsidRPr="00054335">
        <w:rPr>
          <w:color w:val="0D0D0D" w:themeColor="text1" w:themeTint="F2"/>
        </w:rPr>
        <w:lastRenderedPageBreak/>
        <w:t>în mod rezonabil că aceasta a crescut în perioada în care au fost cultivate materiile prime respective, ținând seama, în același timp, de emisiile existente acolo unde astfel de practici presupun utilizarea la scară crescută de îngrășăminte și erbicide (*).</w:t>
      </w:r>
    </w:p>
    <w:p w14:paraId="41013FEA" w14:textId="77777777" w:rsidR="00555F85" w:rsidRPr="00054335" w:rsidRDefault="00555F85" w:rsidP="00555F85">
      <w:pPr>
        <w:rPr>
          <w:color w:val="0D0D0D" w:themeColor="text1" w:themeTint="F2"/>
        </w:rPr>
      </w:pPr>
      <w:r w:rsidRPr="00054335">
        <w:rPr>
          <w:color w:val="0D0D0D" w:themeColor="text1" w:themeTint="F2"/>
        </w:rPr>
        <w:t>(*) Măsurarea carbonului din sol poate constitui o astfel de dovadă, de exemplu printr-o primă măsurătoare premergătoare cultivării și prin măsurători ulterioare la intervale regulate de câțiva ani. În acest caz, înainte ca cea de-a doua măsurătoare să fie disponibilă, creșterea carbonului din sol ar urma să fie estimată pe baza unor experimente sau a unor modele ale solului reprezentative. După cea de-a doua măsurătoare, măsurătorile ar urma să constituie baza pentru determinarea creșterii cantității carbonului din sol și a amplorii acestei creșteri.</w:t>
      </w:r>
    </w:p>
    <w:p w14:paraId="67FDD7E3" w14:textId="77777777" w:rsidR="00555F85" w:rsidRPr="00054335" w:rsidRDefault="00555F85" w:rsidP="00555F85">
      <w:pPr>
        <w:rPr>
          <w:color w:val="0D0D0D" w:themeColor="text1" w:themeTint="F2"/>
        </w:rPr>
      </w:pPr>
      <w:r w:rsidRPr="00054335">
        <w:rPr>
          <w:color w:val="0D0D0D" w:themeColor="text1" w:themeTint="F2"/>
        </w:rPr>
        <w:t>15. Reducerea emisiilor prin captarea și înlocuirea CO</w:t>
      </w:r>
      <w:r w:rsidRPr="00054335">
        <w:rPr>
          <w:color w:val="0D0D0D" w:themeColor="text1" w:themeTint="F2"/>
          <w:vertAlign w:val="subscript"/>
        </w:rPr>
        <w:t>2</w:t>
      </w:r>
      <w:r w:rsidRPr="00054335">
        <w:rPr>
          <w:color w:val="0D0D0D" w:themeColor="text1" w:themeTint="F2"/>
        </w:rPr>
        <w:t>, e</w:t>
      </w:r>
      <w:r w:rsidRPr="00054335">
        <w:rPr>
          <w:color w:val="0D0D0D" w:themeColor="text1" w:themeTint="F2"/>
          <w:vertAlign w:val="subscript"/>
        </w:rPr>
        <w:t>ccr</w:t>
      </w:r>
      <w:r w:rsidRPr="00054335">
        <w:rPr>
          <w:color w:val="0D0D0D" w:themeColor="text1" w:themeTint="F2"/>
        </w:rPr>
        <w:t>, este direct legată de producția de biocombustibili sau de biolichide cărora le sunt atribuite și se limitează la emisiile evitate prin captarea CO</w:t>
      </w:r>
      <w:r w:rsidRPr="00054335">
        <w:rPr>
          <w:color w:val="0D0D0D" w:themeColor="text1" w:themeTint="F2"/>
          <w:vertAlign w:val="subscript"/>
        </w:rPr>
        <w:t>2</w:t>
      </w:r>
      <w:r w:rsidRPr="00054335">
        <w:rPr>
          <w:color w:val="0D0D0D" w:themeColor="text1" w:themeTint="F2"/>
        </w:rPr>
        <w:t xml:space="preserve"> al cărui carbon provine din biomasă și care se utilizează pentru înlocuirea CO</w:t>
      </w:r>
      <w:r w:rsidRPr="00054335">
        <w:rPr>
          <w:color w:val="0D0D0D" w:themeColor="text1" w:themeTint="F2"/>
          <w:vertAlign w:val="subscript"/>
        </w:rPr>
        <w:t>2</w:t>
      </w:r>
      <w:r w:rsidRPr="00054335">
        <w:rPr>
          <w:color w:val="0D0D0D" w:themeColor="text1" w:themeTint="F2"/>
        </w:rPr>
        <w:t xml:space="preserve"> de origine fosilă în producția de produse și servicii comerciale până la 1 ianuarie 2036.</w:t>
      </w:r>
    </w:p>
    <w:p w14:paraId="104FFE2D" w14:textId="77777777" w:rsidR="00555F85" w:rsidRPr="00054335" w:rsidRDefault="00555F85" w:rsidP="00555F85">
      <w:pPr>
        <w:rPr>
          <w:color w:val="0D0D0D" w:themeColor="text1" w:themeTint="F2"/>
        </w:rPr>
      </w:pPr>
      <w:r w:rsidRPr="00054335">
        <w:rPr>
          <w:color w:val="0D0D0D" w:themeColor="text1" w:themeTint="F2"/>
        </w:rPr>
        <w:t>18. Pentru calculele menționate la punctul 17, emisiile care trebuie împărțite sunt e</w:t>
      </w:r>
      <w:r w:rsidRPr="00054335">
        <w:rPr>
          <w:color w:val="0D0D0D" w:themeColor="text1" w:themeTint="F2"/>
          <w:vertAlign w:val="subscript"/>
        </w:rPr>
        <w:t>ec</w:t>
      </w:r>
      <w:r w:rsidRPr="00054335">
        <w:rPr>
          <w:color w:val="0D0D0D" w:themeColor="text1" w:themeTint="F2"/>
        </w:rPr>
        <w:t xml:space="preserve"> + e</w:t>
      </w:r>
      <w:r w:rsidRPr="00054335">
        <w:rPr>
          <w:color w:val="0D0D0D" w:themeColor="text1" w:themeTint="F2"/>
          <w:vertAlign w:val="subscript"/>
        </w:rPr>
        <w:t>l</w:t>
      </w:r>
      <w:r w:rsidRPr="00054335">
        <w:rPr>
          <w:color w:val="0D0D0D" w:themeColor="text1" w:themeTint="F2"/>
        </w:rPr>
        <w:t xml:space="preserve"> + e</w:t>
      </w:r>
      <w:r w:rsidRPr="00054335">
        <w:rPr>
          <w:color w:val="0D0D0D" w:themeColor="text1" w:themeTint="F2"/>
          <w:vertAlign w:val="subscript"/>
        </w:rPr>
        <w:t>sca</w:t>
      </w:r>
      <w:r w:rsidRPr="00054335">
        <w:rPr>
          <w:color w:val="0D0D0D" w:themeColor="text1" w:themeTint="F2"/>
        </w:rPr>
        <w:t xml:space="preserve"> + acele fracții ale e</w:t>
      </w:r>
      <w:r w:rsidRPr="00054335">
        <w:rPr>
          <w:color w:val="0D0D0D" w:themeColor="text1" w:themeTint="F2"/>
          <w:vertAlign w:val="subscript"/>
        </w:rPr>
        <w:t>p</w:t>
      </w:r>
      <w:r w:rsidRPr="00054335">
        <w:rPr>
          <w:color w:val="0D0D0D" w:themeColor="text1" w:themeTint="F2"/>
        </w:rPr>
        <w:t>, e</w:t>
      </w:r>
      <w:r w:rsidRPr="00054335">
        <w:rPr>
          <w:color w:val="0D0D0D" w:themeColor="text1" w:themeTint="F2"/>
          <w:vertAlign w:val="subscript"/>
        </w:rPr>
        <w:t>td</w:t>
      </w:r>
      <w:r w:rsidRPr="00054335">
        <w:rPr>
          <w:color w:val="0D0D0D" w:themeColor="text1" w:themeTint="F2"/>
        </w:rPr>
        <w:t>, e</w:t>
      </w:r>
      <w:r w:rsidRPr="00054335">
        <w:rPr>
          <w:color w:val="0D0D0D" w:themeColor="text1" w:themeTint="F2"/>
          <w:vertAlign w:val="subscript"/>
        </w:rPr>
        <w:t>ccs</w:t>
      </w:r>
      <w:r w:rsidRPr="00054335">
        <w:rPr>
          <w:color w:val="0D0D0D" w:themeColor="text1" w:themeTint="F2"/>
        </w:rPr>
        <w:t xml:space="preserve"> și e</w:t>
      </w:r>
      <w:r w:rsidRPr="00054335">
        <w:rPr>
          <w:color w:val="0D0D0D" w:themeColor="text1" w:themeTint="F2"/>
          <w:vertAlign w:val="subscript"/>
        </w:rPr>
        <w:t xml:space="preserve">ccr </w:t>
      </w:r>
      <w:r w:rsidRPr="00054335">
        <w:rPr>
          <w:color w:val="0D0D0D" w:themeColor="text1" w:themeTint="F2"/>
        </w:rPr>
        <w:t>care au loc până la faza în care se produce un coprodus, inclusiv faza respectivă. În cazul în care s-a alocat vreo valoare coproduselor într-o etapă de prelucrare anterioară din ciclul de viață, fracția din emisiile atribuite produsului combustibil intermediar în ultima etapă a prelucrării respective se utilizează în acest scop în locul valorii totale a emisiilor. În cazul biocombustibililor și biolichidelor, toate coprodusele care nu se încadrează în domeniul de aplicare a punctului 17 se iau în considerare în scopul acestor calcule.</w:t>
      </w:r>
    </w:p>
    <w:p w14:paraId="67D6CE99" w14:textId="77777777" w:rsidR="00555F85" w:rsidRPr="00054335" w:rsidRDefault="00555F85" w:rsidP="00555F85">
      <w:pPr>
        <w:rPr>
          <w:color w:val="0D0D0D" w:themeColor="text1" w:themeTint="F2"/>
        </w:rPr>
      </w:pPr>
      <w:r w:rsidRPr="00054335">
        <w:rPr>
          <w:color w:val="0D0D0D" w:themeColor="text1" w:themeTint="F2"/>
        </w:rPr>
        <w:t>Pentru calculul respectiv, se atribuie un conținut energetic egal cu zero coproduselor cu conținut energetic negativ.</w:t>
      </w:r>
    </w:p>
    <w:p w14:paraId="36C0C403" w14:textId="77777777" w:rsidR="00555F85" w:rsidRPr="00054335" w:rsidRDefault="00555F85" w:rsidP="00555F85">
      <w:pPr>
        <w:rPr>
          <w:color w:val="0D0D0D" w:themeColor="text1" w:themeTint="F2"/>
        </w:rPr>
      </w:pPr>
      <w:r w:rsidRPr="00054335">
        <w:rPr>
          <w:color w:val="0D0D0D" w:themeColor="text1" w:themeTint="F2"/>
        </w:rPr>
        <w:t xml:space="preserve">Ca regulă generală, deșeurile și reziduurile, inclusiv toate deșeurile și reziduurile incluse în </w:t>
      </w:r>
      <w:r w:rsidRPr="00054335">
        <w:t>anexa</w:t>
      </w:r>
      <w:r w:rsidRPr="00054335">
        <w:rPr>
          <w:color w:val="FF0000"/>
        </w:rPr>
        <w:t xml:space="preserve"> </w:t>
      </w:r>
      <w:r w:rsidRPr="00054335">
        <w:t>nr. 10</w:t>
      </w:r>
      <w:r w:rsidRPr="00054335">
        <w:rPr>
          <w:color w:val="0D0D0D" w:themeColor="text1" w:themeTint="F2"/>
        </w:rPr>
        <w:t>, se consideră a avea o valoare a emisiilor de gaze cu efect de seră egală cu zero în decursul ciclului lor de viață până în momentul procesului de colectare a materialelor respective, indiferent dacă acestea sunt prelucrate în produse intermediare înainte de a fi transformate în produsul final.</w:t>
      </w:r>
    </w:p>
    <w:p w14:paraId="1C2C674E" w14:textId="77777777" w:rsidR="00555F85" w:rsidRPr="00054335" w:rsidRDefault="00555F85" w:rsidP="00555F85">
      <w:pPr>
        <w:rPr>
          <w:color w:val="0D0D0D" w:themeColor="text1" w:themeTint="F2"/>
        </w:rPr>
      </w:pPr>
      <w:r w:rsidRPr="00054335">
        <w:rPr>
          <w:color w:val="0D0D0D" w:themeColor="text1" w:themeTint="F2"/>
        </w:rPr>
        <w:t>În cazul combustibililor din biomasă produși în rafinării, altele decât combinațiile de instalații de prelucrare cu cazane sau unități de cogenerare care furnizează energie termică și/sau energie electrică instalației de prelucrare, unitatea de analiză pentru calculul menționat la punctul 17 este rafinăria.</w:t>
      </w:r>
    </w:p>
    <w:p w14:paraId="6E83E85C" w14:textId="77777777" w:rsidR="00555F85" w:rsidRPr="00054335" w:rsidRDefault="00555F85" w:rsidP="00555F85">
      <w:pPr>
        <w:rPr>
          <w:b/>
          <w:bCs/>
          <w:color w:val="0D0D0D" w:themeColor="text1" w:themeTint="F2"/>
        </w:rPr>
      </w:pPr>
      <w:r w:rsidRPr="00054335">
        <w:rPr>
          <w:b/>
          <w:bCs/>
          <w:color w:val="0D0D0D" w:themeColor="text1" w:themeTint="F2"/>
        </w:rPr>
        <w:t>5.Se abrogă Anexa nr. 9.</w:t>
      </w:r>
    </w:p>
    <w:p w14:paraId="55760722" w14:textId="77777777" w:rsidR="00555F85" w:rsidRPr="00054335" w:rsidRDefault="00555F85" w:rsidP="00555F85">
      <w:pPr>
        <w:rPr>
          <w:b/>
          <w:bCs/>
          <w:color w:val="0D0D0D" w:themeColor="text1" w:themeTint="F2"/>
        </w:rPr>
      </w:pPr>
      <w:r w:rsidRPr="00054335">
        <w:rPr>
          <w:b/>
          <w:bCs/>
          <w:color w:val="0D0D0D" w:themeColor="text1" w:themeTint="F2"/>
        </w:rPr>
        <w:t>6.Se modifică Anexa nr. 10,  titlurile pentru partea A și partea B și vor avea următorul cuprins:</w:t>
      </w:r>
    </w:p>
    <w:p w14:paraId="2BFC8AFB" w14:textId="77777777" w:rsidR="00555F85" w:rsidRPr="00054335" w:rsidRDefault="00555F85" w:rsidP="00555F85">
      <w:pPr>
        <w:rPr>
          <w:b/>
          <w:bCs/>
          <w:color w:val="0D0D0D" w:themeColor="text1" w:themeTint="F2"/>
        </w:rPr>
      </w:pPr>
      <w:r w:rsidRPr="00054335">
        <w:rPr>
          <w:b/>
          <w:bCs/>
          <w:color w:val="0D0D0D" w:themeColor="text1" w:themeTint="F2"/>
        </w:rPr>
        <w:t>Partea A. Materii prime pentru producția de biogaz pentru transporturi și de biocombustibili avansați:</w:t>
      </w:r>
    </w:p>
    <w:p w14:paraId="126C7AAE" w14:textId="77777777" w:rsidR="00555F85" w:rsidRPr="00054335" w:rsidRDefault="00555F85" w:rsidP="00555F85">
      <w:pPr>
        <w:rPr>
          <w:b/>
          <w:bCs/>
          <w:color w:val="0D0D0D" w:themeColor="text1" w:themeTint="F2"/>
        </w:rPr>
      </w:pPr>
      <w:r w:rsidRPr="00054335">
        <w:rPr>
          <w:b/>
          <w:bCs/>
          <w:color w:val="0D0D0D" w:themeColor="text1" w:themeTint="F2"/>
        </w:rPr>
        <w:t>Partea B. Materii prime pentru producția de biocombustibili și de biogaz pentru transporturi, a căror contribuție la îndeplinirea obiectivelor menționate la articolul 24 alineatul (6) litera (a) trebuie să fie limitată la:</w:t>
      </w:r>
    </w:p>
    <w:p w14:paraId="66AB213A" w14:textId="77777777" w:rsidR="00555F85" w:rsidRPr="00054335" w:rsidRDefault="00555F85" w:rsidP="00555F85">
      <w:pPr>
        <w:rPr>
          <w:b/>
          <w:bCs/>
          <w:color w:val="0D0D0D" w:themeColor="text1" w:themeTint="F2"/>
        </w:rPr>
      </w:pPr>
      <w:r w:rsidRPr="00054335">
        <w:rPr>
          <w:b/>
          <w:bCs/>
          <w:color w:val="0D0D0D" w:themeColor="text1" w:themeTint="F2"/>
        </w:rPr>
        <w:t>7. Se modifică Anexa nr. 11, partea B, punctele 6, 15 și 18 și vor avea următorul cuprins:</w:t>
      </w:r>
    </w:p>
    <w:p w14:paraId="4E269ADE" w14:textId="77777777" w:rsidR="00555F85" w:rsidRPr="00054335" w:rsidRDefault="00555F85" w:rsidP="00555F85">
      <w:pPr>
        <w:rPr>
          <w:color w:val="0D0D0D" w:themeColor="text1" w:themeTint="F2"/>
        </w:rPr>
      </w:pPr>
      <w:r w:rsidRPr="00054335">
        <w:rPr>
          <w:color w:val="0D0D0D" w:themeColor="text1" w:themeTint="F2"/>
        </w:rPr>
        <w:lastRenderedPageBreak/>
        <w:t>6. Pentru calculul menționat la punctul 1 litera (a), reducerile emisiilor de gaze cu efect de seră provenite din îmbunătățirea gestionării în agricultură, es</w:t>
      </w:r>
      <w:r w:rsidRPr="00054335">
        <w:rPr>
          <w:color w:val="0D0D0D" w:themeColor="text1" w:themeTint="F2"/>
          <w:vertAlign w:val="subscript"/>
        </w:rPr>
        <w:t>ca</w:t>
      </w:r>
      <w:r w:rsidRPr="00054335">
        <w:rPr>
          <w:color w:val="0D0D0D" w:themeColor="text1" w:themeTint="F2"/>
        </w:rPr>
        <w:t>, cum ar fi trecerea la aratul de conservare sau la semănarea direct în miriște, îmbunătățirea culturilor și a sistemului de rotație a culturilor, utilizarea culturilor de protecție, inclusiv gestionarea reziduurilor de culturi, precum și utilizarea unui ameliorator organic de soluri, precum compost și digestat fermentat din gunoi de grajd, se ia în considerare doar în cazul în care nu există riscul ca acestea să aibă un efect negativ asupra biodiversității. În plus, se furnizează dovezi solide și verificabile cu privire la creșterea cantității de carbon din sol sau dacă se poate presupune în mod rezonabil că aceasta a crescut în perioada în care au fost cultivate materiile prime respective, ținând seama, în același timp, de emisiile existente acolo unde astfel de practici presupun utilizarea la scară crescută de îngrășăminte și erbicide (*).</w:t>
      </w:r>
    </w:p>
    <w:p w14:paraId="3A100699" w14:textId="77777777" w:rsidR="00555F85" w:rsidRPr="00054335" w:rsidRDefault="00555F85" w:rsidP="00555F85">
      <w:pPr>
        <w:rPr>
          <w:color w:val="0D0D0D" w:themeColor="text1" w:themeTint="F2"/>
        </w:rPr>
      </w:pPr>
      <w:r w:rsidRPr="00054335">
        <w:rPr>
          <w:color w:val="0D0D0D" w:themeColor="text1" w:themeTint="F2"/>
        </w:rPr>
        <w:t>_____________</w:t>
      </w:r>
    </w:p>
    <w:p w14:paraId="13D9EE28" w14:textId="77777777" w:rsidR="00555F85" w:rsidRPr="00054335" w:rsidRDefault="00555F85" w:rsidP="00555F85">
      <w:pPr>
        <w:rPr>
          <w:color w:val="0D0D0D" w:themeColor="text1" w:themeTint="F2"/>
        </w:rPr>
      </w:pPr>
      <w:r w:rsidRPr="00054335">
        <w:rPr>
          <w:color w:val="0D0D0D" w:themeColor="text1" w:themeTint="F2"/>
        </w:rPr>
        <w:t>(*) Măsurarea carbonului din sol poate constitui o astfel de dovadă, de exemplu printr-o primă măsurătoare premergătoare cultivării și prin măsurători ulterioare la intervale regulate de câțiva ani. În acest caz, înainte ca cea de-a doua măsurătoare să fie disponibilă, creșterea carbonului din sol ar urma să fie estimată pe baza unor experimente sau a unor modele ale solului reprezentative. După cea de-a doua măsurătoare, măsurătorile ar urma să constituie baza pentru determinarea existenței unei creșteri a cantității carbonului din sol și a amplorii acestei creșteri.</w:t>
      </w:r>
    </w:p>
    <w:p w14:paraId="2A922E74" w14:textId="77777777" w:rsidR="00555F85" w:rsidRPr="00054335" w:rsidRDefault="00555F85" w:rsidP="00555F85">
      <w:pPr>
        <w:rPr>
          <w:color w:val="0D0D0D" w:themeColor="text1" w:themeTint="F2"/>
        </w:rPr>
      </w:pPr>
      <w:r w:rsidRPr="00054335">
        <w:rPr>
          <w:color w:val="0D0D0D" w:themeColor="text1" w:themeTint="F2"/>
        </w:rPr>
        <w:t>15.Reducerile emisiilor prin captarea și înlocuirea CO</w:t>
      </w:r>
      <w:r w:rsidRPr="00054335">
        <w:rPr>
          <w:color w:val="0D0D0D" w:themeColor="text1" w:themeTint="F2"/>
          <w:vertAlign w:val="subscript"/>
        </w:rPr>
        <w:t>2</w:t>
      </w:r>
      <w:r w:rsidRPr="00054335">
        <w:rPr>
          <w:color w:val="0D0D0D" w:themeColor="text1" w:themeTint="F2"/>
        </w:rPr>
        <w:t>, e</w:t>
      </w:r>
      <w:r w:rsidRPr="00054335">
        <w:rPr>
          <w:color w:val="0D0D0D" w:themeColor="text1" w:themeTint="F2"/>
          <w:vertAlign w:val="subscript"/>
        </w:rPr>
        <w:t>ccr</w:t>
      </w:r>
      <w:r w:rsidRPr="00054335">
        <w:rPr>
          <w:color w:val="0D0D0D" w:themeColor="text1" w:themeTint="F2"/>
        </w:rPr>
        <w:t>, este direct legată de producția de combustibili din biomasă cărora le sunt atribuite și se limitează la emisiile evitate prin captarea de CO</w:t>
      </w:r>
      <w:r w:rsidRPr="00054335">
        <w:rPr>
          <w:color w:val="0D0D0D" w:themeColor="text1" w:themeTint="F2"/>
          <w:vertAlign w:val="subscript"/>
        </w:rPr>
        <w:t>2</w:t>
      </w:r>
      <w:r w:rsidRPr="00054335">
        <w:rPr>
          <w:color w:val="0D0D0D" w:themeColor="text1" w:themeTint="F2"/>
        </w:rPr>
        <w:t xml:space="preserve"> al cărui carbon provine din biomasă și care se utilizează pentru înlocuirea CO</w:t>
      </w:r>
      <w:r w:rsidRPr="00054335">
        <w:rPr>
          <w:color w:val="0D0D0D" w:themeColor="text1" w:themeTint="F2"/>
          <w:vertAlign w:val="subscript"/>
        </w:rPr>
        <w:t>2</w:t>
      </w:r>
      <w:r w:rsidRPr="00054335">
        <w:rPr>
          <w:color w:val="0D0D0D" w:themeColor="text1" w:themeTint="F2"/>
        </w:rPr>
        <w:t xml:space="preserve"> de origine fosilă în producția de produse și servicii comerciale până la 1 ianuarie 2036.</w:t>
      </w:r>
    </w:p>
    <w:p w14:paraId="450CDB47" w14:textId="77777777" w:rsidR="00555F85" w:rsidRPr="00054335" w:rsidRDefault="00555F85" w:rsidP="00555F85">
      <w:pPr>
        <w:rPr>
          <w:color w:val="0D0D0D" w:themeColor="text1" w:themeTint="F2"/>
        </w:rPr>
      </w:pPr>
      <w:r w:rsidRPr="00054335">
        <w:rPr>
          <w:color w:val="0D0D0D" w:themeColor="text1" w:themeTint="F2"/>
        </w:rPr>
        <w:t>18.Pentru calculele menționate la punctul 17, emisiile care trebuie împărțite sunt e</w:t>
      </w:r>
      <w:r w:rsidRPr="00054335">
        <w:rPr>
          <w:color w:val="0D0D0D" w:themeColor="text1" w:themeTint="F2"/>
          <w:vertAlign w:val="subscript"/>
        </w:rPr>
        <w:t>ec</w:t>
      </w:r>
      <w:r w:rsidRPr="00054335">
        <w:rPr>
          <w:color w:val="0D0D0D" w:themeColor="text1" w:themeTint="F2"/>
        </w:rPr>
        <w:t xml:space="preserve"> + e</w:t>
      </w:r>
      <w:r w:rsidRPr="00054335">
        <w:rPr>
          <w:color w:val="0D0D0D" w:themeColor="text1" w:themeTint="F2"/>
          <w:vertAlign w:val="subscript"/>
        </w:rPr>
        <w:t>l</w:t>
      </w:r>
      <w:r w:rsidRPr="00054335">
        <w:rPr>
          <w:color w:val="0D0D0D" w:themeColor="text1" w:themeTint="F2"/>
        </w:rPr>
        <w:t xml:space="preserve"> + e</w:t>
      </w:r>
      <w:r w:rsidRPr="00054335">
        <w:rPr>
          <w:color w:val="0D0D0D" w:themeColor="text1" w:themeTint="F2"/>
          <w:vertAlign w:val="subscript"/>
        </w:rPr>
        <w:t>sca</w:t>
      </w:r>
      <w:r w:rsidRPr="00054335">
        <w:rPr>
          <w:color w:val="0D0D0D" w:themeColor="text1" w:themeTint="F2"/>
        </w:rPr>
        <w:t xml:space="preserve"> + acele fracții ale e</w:t>
      </w:r>
      <w:r w:rsidRPr="00054335">
        <w:rPr>
          <w:color w:val="0D0D0D" w:themeColor="text1" w:themeTint="F2"/>
          <w:vertAlign w:val="subscript"/>
        </w:rPr>
        <w:t>p</w:t>
      </w:r>
      <w:r w:rsidRPr="00054335">
        <w:rPr>
          <w:color w:val="0D0D0D" w:themeColor="text1" w:themeTint="F2"/>
        </w:rPr>
        <w:t>, e</w:t>
      </w:r>
      <w:r w:rsidRPr="00054335">
        <w:rPr>
          <w:color w:val="0D0D0D" w:themeColor="text1" w:themeTint="F2"/>
          <w:vertAlign w:val="subscript"/>
        </w:rPr>
        <w:t>td</w:t>
      </w:r>
      <w:r w:rsidRPr="00054335">
        <w:rPr>
          <w:color w:val="0D0D0D" w:themeColor="text1" w:themeTint="F2"/>
        </w:rPr>
        <w:t>, e</w:t>
      </w:r>
      <w:r w:rsidRPr="00054335">
        <w:rPr>
          <w:color w:val="0D0D0D" w:themeColor="text1" w:themeTint="F2"/>
          <w:vertAlign w:val="subscript"/>
        </w:rPr>
        <w:t>ccs</w:t>
      </w:r>
      <w:r w:rsidRPr="00054335">
        <w:rPr>
          <w:color w:val="0D0D0D" w:themeColor="text1" w:themeTint="F2"/>
        </w:rPr>
        <w:t xml:space="preserve"> și e</w:t>
      </w:r>
      <w:r w:rsidRPr="00054335">
        <w:rPr>
          <w:color w:val="0D0D0D" w:themeColor="text1" w:themeTint="F2"/>
          <w:vertAlign w:val="subscript"/>
        </w:rPr>
        <w:t>ccr</w:t>
      </w:r>
      <w:r w:rsidRPr="00054335">
        <w:rPr>
          <w:color w:val="0D0D0D" w:themeColor="text1" w:themeTint="F2"/>
        </w:rPr>
        <w:t xml:space="preserve"> care au loc până la faza în care se produce un coprodus, inclusiv faza respectivă. În cazul în care s-a alocat vreo valoare coproduselor într-o etapă de prelucrare anterioară din ciclul de viață, fracția din emisiile atribuite produsului combustibil intermediar în ultima etapă a prelucrării respective se utilizează în acest scop în locul valorii totale a emisiilor.</w:t>
      </w:r>
    </w:p>
    <w:p w14:paraId="1945030B" w14:textId="77777777" w:rsidR="00555F85" w:rsidRPr="00054335" w:rsidRDefault="00555F85" w:rsidP="00831398">
      <w:pPr>
        <w:ind w:firstLine="0"/>
        <w:rPr>
          <w:color w:val="0D0D0D" w:themeColor="text1" w:themeTint="F2"/>
        </w:rPr>
      </w:pPr>
      <w:r w:rsidRPr="00054335">
        <w:rPr>
          <w:color w:val="0D0D0D" w:themeColor="text1" w:themeTint="F2"/>
        </w:rPr>
        <w:t>În cazul biogazului și al biometanului, toate coprodusele care nu se încadrează în domeniul de aplicare al punctului 17 se iau în considerare în scopul acestor calcule. Pentru calculul respectiv, se atribuie un conținut energetic egal cu zero coproduselor cu conținut energetic negativ.</w:t>
      </w:r>
    </w:p>
    <w:p w14:paraId="07928515" w14:textId="77777777" w:rsidR="00555F85" w:rsidRPr="00054335" w:rsidRDefault="00555F85" w:rsidP="00831398">
      <w:pPr>
        <w:ind w:firstLine="0"/>
        <w:rPr>
          <w:color w:val="0D0D0D" w:themeColor="text1" w:themeTint="F2"/>
        </w:rPr>
      </w:pPr>
      <w:r w:rsidRPr="00054335">
        <w:rPr>
          <w:color w:val="0D0D0D" w:themeColor="text1" w:themeTint="F2"/>
        </w:rPr>
        <w:t xml:space="preserve">Ca regulă generală, deșeurile și reziduurile, inclusiv toate deșeurile și reziduurile incluse în </w:t>
      </w:r>
      <w:r w:rsidRPr="00054335">
        <w:t>anexa</w:t>
      </w:r>
      <w:r w:rsidRPr="00054335">
        <w:rPr>
          <w:color w:val="FF0000"/>
        </w:rPr>
        <w:t xml:space="preserve"> </w:t>
      </w:r>
      <w:r w:rsidRPr="00054335">
        <w:t>nr. 10,</w:t>
      </w:r>
      <w:r w:rsidRPr="00054335">
        <w:rPr>
          <w:color w:val="FF0000"/>
        </w:rPr>
        <w:t xml:space="preserve"> </w:t>
      </w:r>
      <w:r w:rsidRPr="00054335">
        <w:rPr>
          <w:color w:val="0D0D0D" w:themeColor="text1" w:themeTint="F2"/>
        </w:rPr>
        <w:t>se consideră a avea o valoare a emisiilor de gaze cu efect de seră egală cu zero în decursul ciclului lor de viață până în momentul procesului de colectare a materialelor respective, indiferent dacă acestea sunt prelucrate în produse intermediare înainte de a fi transformate în produsul final.</w:t>
      </w:r>
    </w:p>
    <w:p w14:paraId="1B082011" w14:textId="77777777" w:rsidR="00555F85" w:rsidRPr="00054335" w:rsidRDefault="00555F85" w:rsidP="00831398">
      <w:pPr>
        <w:ind w:firstLine="0"/>
        <w:rPr>
          <w:color w:val="0D0D0D" w:themeColor="text1" w:themeTint="F2"/>
        </w:rPr>
      </w:pPr>
      <w:r w:rsidRPr="00054335">
        <w:rPr>
          <w:color w:val="0D0D0D" w:themeColor="text1" w:themeTint="F2"/>
        </w:rPr>
        <w:t>În cazul combustibililor din biomasă produși în rafinării, altele decât combinațiile de instalații de prelucrare cu cazane sau unități de cogenerare care furnizează energie termică și/sau energie electrică instalației de prelucrare, unitatea de analiză în scopurile calculului menționat la punctul 17 este rafinăria.</w:t>
      </w:r>
    </w:p>
    <w:p w14:paraId="21C2F0D0" w14:textId="77777777" w:rsidR="00555F85" w:rsidRPr="00054335" w:rsidRDefault="00555F85" w:rsidP="00555F85">
      <w:pPr>
        <w:rPr>
          <w:b/>
          <w:bCs/>
          <w:color w:val="0D0D0D" w:themeColor="text1" w:themeTint="F2"/>
        </w:rPr>
      </w:pPr>
      <w:r w:rsidRPr="00054335">
        <w:rPr>
          <w:b/>
          <w:bCs/>
          <w:color w:val="0D0D0D" w:themeColor="text1" w:themeTint="F2"/>
        </w:rPr>
        <w:lastRenderedPageBreak/>
        <w:t>Articolul IV</w:t>
      </w:r>
    </w:p>
    <w:p w14:paraId="4E9D1DB9" w14:textId="77777777" w:rsidR="00555F85" w:rsidRPr="00054335" w:rsidRDefault="00555F85" w:rsidP="00555F85">
      <w:pPr>
        <w:rPr>
          <w:b/>
          <w:bCs/>
          <w:color w:val="0D0D0D" w:themeColor="text1" w:themeTint="F2"/>
        </w:rPr>
      </w:pPr>
      <w:r w:rsidRPr="00054335">
        <w:rPr>
          <w:b/>
          <w:bCs/>
          <w:color w:val="0D0D0D" w:themeColor="text1" w:themeTint="F2"/>
        </w:rPr>
        <w:t>Legea nr. 123/2012 a energiei electrice și a gazelor naturale, cu modificările și completările ulterioare, se modifică și se completează după cum urmează:</w:t>
      </w:r>
    </w:p>
    <w:p w14:paraId="7C8A2AF4" w14:textId="77777777" w:rsidR="00555F85" w:rsidRPr="00054335" w:rsidRDefault="00555F85" w:rsidP="00555F85">
      <w:pPr>
        <w:pStyle w:val="ListParagraph"/>
        <w:numPr>
          <w:ilvl w:val="0"/>
          <w:numId w:val="195"/>
        </w:numPr>
        <w:spacing w:before="0" w:after="200"/>
        <w:rPr>
          <w:b/>
          <w:bCs/>
          <w:color w:val="0D0D0D" w:themeColor="text1" w:themeTint="F2"/>
        </w:rPr>
      </w:pPr>
      <w:r w:rsidRPr="00054335">
        <w:rPr>
          <w:b/>
          <w:bCs/>
          <w:color w:val="0D0D0D" w:themeColor="text1" w:themeTint="F2"/>
        </w:rPr>
        <w:t>La  art. 3 pct. 43 se modifică și va avea următorul cuprins:</w:t>
      </w:r>
    </w:p>
    <w:p w14:paraId="5B9ED04B" w14:textId="77777777" w:rsidR="00555F85" w:rsidRPr="00083F72" w:rsidRDefault="00555F85" w:rsidP="00555F85">
      <w:pPr>
        <w:rPr>
          <w:i/>
          <w:iCs/>
          <w:color w:val="0D0D0D" w:themeColor="text1" w:themeTint="F2"/>
        </w:rPr>
      </w:pPr>
      <w:r w:rsidRPr="00054335">
        <w:rPr>
          <w:b/>
          <w:bCs/>
          <w:color w:val="0D0D0D" w:themeColor="text1" w:themeTint="F2"/>
        </w:rPr>
        <w:t>43. energie din surse regenerabile</w:t>
      </w:r>
      <w:r w:rsidRPr="00054335">
        <w:rPr>
          <w:color w:val="0D0D0D" w:themeColor="text1" w:themeTint="F2"/>
        </w:rPr>
        <w:t xml:space="preserve"> sau </w:t>
      </w:r>
      <w:r w:rsidRPr="00054335">
        <w:rPr>
          <w:b/>
          <w:bCs/>
          <w:color w:val="0D0D0D" w:themeColor="text1" w:themeTint="F2"/>
        </w:rPr>
        <w:t>energie regenerabilă</w:t>
      </w:r>
      <w:r w:rsidRPr="00054335">
        <w:rPr>
          <w:color w:val="0D0D0D" w:themeColor="text1" w:themeTint="F2"/>
        </w:rPr>
        <w:t xml:space="preserve"> </w:t>
      </w:r>
      <w:r w:rsidRPr="00083F72">
        <w:rPr>
          <w:i/>
          <w:iCs/>
          <w:color w:val="0D0D0D" w:themeColor="text1" w:themeTint="F2"/>
        </w:rPr>
        <w:t>înseamnă energie din surse regenerabile nefosile, respectiv energie eoliană, solară (solară termică și solară fotovoltaică) și geotermală, energie osmotică, energie ambientală, energia mareelor, a valurilor și alte tipuri de energie a oceanelor, energie hidroelectrică, biomasă, gaz de depozit, gaz provenit din instalațiile de epurare a apelor uzate și biogaz.</w:t>
      </w:r>
    </w:p>
    <w:p w14:paraId="76A9BE9C" w14:textId="77777777" w:rsidR="00555F85" w:rsidRPr="00054335" w:rsidRDefault="00555F85" w:rsidP="00555F85">
      <w:pPr>
        <w:rPr>
          <w:b/>
          <w:bCs/>
          <w:color w:val="0D0D0D" w:themeColor="text1" w:themeTint="F2"/>
        </w:rPr>
      </w:pPr>
    </w:p>
    <w:p w14:paraId="6263226F" w14:textId="77777777" w:rsidR="00977528" w:rsidRPr="00721C2C" w:rsidRDefault="00977528" w:rsidP="00ED18D4">
      <w:pPr>
        <w:ind w:left="0" w:firstLine="0"/>
        <w:rPr>
          <w:i/>
          <w:noProof w:val="0"/>
          <w:color w:val="000000"/>
          <w:bdr w:val="none" w:sz="0" w:space="0" w:color="auto" w:frame="1"/>
          <w:shd w:val="clear" w:color="auto" w:fill="FFFFFF"/>
        </w:rPr>
      </w:pPr>
    </w:p>
    <w:p w14:paraId="102CD857" w14:textId="77777777" w:rsidR="00A14404" w:rsidRPr="00721C2C" w:rsidRDefault="00977528" w:rsidP="00066110">
      <w:pPr>
        <w:ind w:left="0" w:firstLine="0"/>
        <w:jc w:val="center"/>
        <w:rPr>
          <w:b/>
          <w:bCs/>
          <w:iCs/>
          <w:noProof w:val="0"/>
          <w:color w:val="000000"/>
          <w:bdr w:val="none" w:sz="0" w:space="0" w:color="auto" w:frame="1"/>
          <w:shd w:val="clear" w:color="auto" w:fill="FFFFFF"/>
        </w:rPr>
      </w:pPr>
      <w:r w:rsidRPr="00721C2C">
        <w:rPr>
          <w:b/>
          <w:bCs/>
          <w:iCs/>
          <w:noProof w:val="0"/>
          <w:color w:val="000000"/>
          <w:bdr w:val="none" w:sz="0" w:space="0" w:color="auto" w:frame="1"/>
          <w:shd w:val="clear" w:color="auto" w:fill="FFFFFF"/>
        </w:rPr>
        <w:t>PRIM-MINISTRU</w:t>
      </w:r>
    </w:p>
    <w:p w14:paraId="1057E5CC" w14:textId="77777777" w:rsidR="00B93B0A" w:rsidRPr="00721C2C" w:rsidRDefault="00B93B0A" w:rsidP="00B93B0A">
      <w:pPr>
        <w:spacing w:before="240" w:after="120"/>
        <w:ind w:left="0" w:firstLine="0"/>
        <w:jc w:val="center"/>
        <w:rPr>
          <w:b/>
          <w:bCs/>
          <w:noProof w:val="0"/>
          <w:color w:val="000000"/>
        </w:rPr>
      </w:pPr>
      <w:r>
        <w:rPr>
          <w:b/>
          <w:bCs/>
          <w:iCs/>
          <w:noProof w:val="0"/>
          <w:color w:val="000000"/>
          <w:bdr w:val="none" w:sz="0" w:space="0" w:color="auto" w:frame="1"/>
          <w:shd w:val="clear" w:color="auto" w:fill="FFFFFF"/>
        </w:rPr>
        <w:t xml:space="preserve">Ion – Marcel CIOLACU </w:t>
      </w:r>
    </w:p>
    <w:p w14:paraId="1811493A" w14:textId="753ECB13" w:rsidR="00A26A71" w:rsidRPr="00721C2C" w:rsidRDefault="00A26A71" w:rsidP="00066110">
      <w:pPr>
        <w:spacing w:before="240" w:after="120"/>
        <w:ind w:left="0" w:firstLine="0"/>
        <w:jc w:val="center"/>
        <w:rPr>
          <w:b/>
          <w:bCs/>
          <w:noProof w:val="0"/>
          <w:color w:val="000000"/>
        </w:rPr>
      </w:pPr>
    </w:p>
    <w:sectPr w:rsidR="00A26A71" w:rsidRPr="00721C2C" w:rsidSect="004701EC">
      <w:footerReference w:type="default" r:id="rId10"/>
      <w:endnotePr>
        <w:numFmt w:val="decimal"/>
      </w:endnotePr>
      <w:type w:val="continuous"/>
      <w:pgSz w:w="11906" w:h="16838" w:code="9"/>
      <w:pgMar w:top="1418" w:right="1418" w:bottom="851"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84E19" w14:textId="77777777" w:rsidR="00293132" w:rsidRDefault="00293132" w:rsidP="009A7EB7">
      <w:pPr>
        <w:spacing w:line="240" w:lineRule="auto"/>
      </w:pPr>
      <w:r>
        <w:separator/>
      </w:r>
    </w:p>
  </w:endnote>
  <w:endnote w:type="continuationSeparator" w:id="0">
    <w:p w14:paraId="283FE6A5" w14:textId="77777777" w:rsidR="00293132" w:rsidRDefault="00293132" w:rsidP="009A7EB7">
      <w:pPr>
        <w:spacing w:line="240" w:lineRule="auto"/>
      </w:pPr>
      <w:r>
        <w:continuationSeparator/>
      </w:r>
    </w:p>
  </w:endnote>
  <w:endnote w:type="continuationNotice" w:id="1">
    <w:p w14:paraId="6A49C219" w14:textId="77777777" w:rsidR="00293132" w:rsidRDefault="002931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D7F2" w14:textId="4481AEB3" w:rsidR="00705B33" w:rsidRPr="00AA5B80" w:rsidRDefault="00705B33" w:rsidP="00AA5B80">
    <w:pPr>
      <w:pStyle w:val="Footer"/>
      <w:jc w:val="right"/>
      <w:rPr>
        <w:rFonts w:ascii="Calibri" w:hAnsi="Calibri" w:cs="Calibri"/>
        <w:sz w:val="18"/>
        <w:szCs w:val="18"/>
      </w:rPr>
    </w:pPr>
    <w:r w:rsidRPr="00AA5B80">
      <w:rPr>
        <w:rFonts w:ascii="Calibri" w:hAnsi="Calibri" w:cs="Calibri"/>
        <w:noProof w:val="0"/>
        <w:sz w:val="18"/>
        <w:szCs w:val="18"/>
      </w:rPr>
      <w:fldChar w:fldCharType="begin"/>
    </w:r>
    <w:r w:rsidRPr="00AA5B80">
      <w:rPr>
        <w:rFonts w:ascii="Calibri" w:hAnsi="Calibri" w:cs="Calibri"/>
        <w:sz w:val="18"/>
        <w:szCs w:val="18"/>
      </w:rPr>
      <w:instrText xml:space="preserve"> PAGE   \* MERGEFORMAT </w:instrText>
    </w:r>
    <w:r w:rsidRPr="00AA5B80">
      <w:rPr>
        <w:rFonts w:ascii="Calibri" w:hAnsi="Calibri" w:cs="Calibri"/>
        <w:noProof w:val="0"/>
        <w:sz w:val="18"/>
        <w:szCs w:val="18"/>
      </w:rPr>
      <w:fldChar w:fldCharType="separate"/>
    </w:r>
    <w:r w:rsidR="00F71A6B">
      <w:rPr>
        <w:rFonts w:ascii="Calibri" w:hAnsi="Calibri" w:cs="Calibri"/>
        <w:sz w:val="18"/>
        <w:szCs w:val="18"/>
      </w:rPr>
      <w:t>77</w:t>
    </w:r>
    <w:r w:rsidRPr="00AA5B8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DA7BB" w14:textId="77777777" w:rsidR="00293132" w:rsidRDefault="00293132" w:rsidP="009A7EB7">
      <w:pPr>
        <w:spacing w:line="240" w:lineRule="auto"/>
      </w:pPr>
      <w:r>
        <w:separator/>
      </w:r>
    </w:p>
  </w:footnote>
  <w:footnote w:type="continuationSeparator" w:id="0">
    <w:p w14:paraId="2990B11B" w14:textId="77777777" w:rsidR="00293132" w:rsidRDefault="00293132" w:rsidP="009A7EB7">
      <w:pPr>
        <w:spacing w:line="240" w:lineRule="auto"/>
      </w:pPr>
      <w:r>
        <w:continuationSeparator/>
      </w:r>
    </w:p>
  </w:footnote>
  <w:footnote w:type="continuationNotice" w:id="1">
    <w:p w14:paraId="75F682D4" w14:textId="77777777" w:rsidR="00293132" w:rsidRDefault="0029313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232B"/>
    <w:multiLevelType w:val="hybridMultilevel"/>
    <w:tmpl w:val="6584DC7E"/>
    <w:lvl w:ilvl="0" w:tplc="04090017">
      <w:start w:val="1"/>
      <w:numFmt w:val="lowerLetter"/>
      <w:lvlText w:val="%1)"/>
      <w:lvlJc w:val="left"/>
      <w:pPr>
        <w:ind w:left="1203" w:hanging="49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0B00B30"/>
    <w:multiLevelType w:val="hybridMultilevel"/>
    <w:tmpl w:val="D0FA7E8C"/>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0B7168A"/>
    <w:multiLevelType w:val="hybridMultilevel"/>
    <w:tmpl w:val="B1A47076"/>
    <w:lvl w:ilvl="0" w:tplc="83F4981C">
      <w:start w:val="2"/>
      <w:numFmt w:val="decimal"/>
      <w:lvlText w:val="(%1)"/>
      <w:lvlJc w:val="left"/>
      <w:pPr>
        <w:ind w:left="1128"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D3C20"/>
    <w:multiLevelType w:val="hybridMultilevel"/>
    <w:tmpl w:val="CCA46674"/>
    <w:lvl w:ilvl="0" w:tplc="2292AFFC">
      <w:start w:val="2"/>
      <w:numFmt w:val="decimal"/>
      <w:lvlText w:val="(%1)"/>
      <w:lvlJc w:val="left"/>
      <w:pPr>
        <w:ind w:left="13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2C215A"/>
    <w:multiLevelType w:val="hybridMultilevel"/>
    <w:tmpl w:val="911C6C6A"/>
    <w:lvl w:ilvl="0" w:tplc="7990F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56DC9"/>
    <w:multiLevelType w:val="hybridMultilevel"/>
    <w:tmpl w:val="FBF0C876"/>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3410B5E"/>
    <w:multiLevelType w:val="hybridMultilevel"/>
    <w:tmpl w:val="9D6243A4"/>
    <w:lvl w:ilvl="0" w:tplc="499C49D6">
      <w:start w:val="2"/>
      <w:numFmt w:val="decimal"/>
      <w:lvlText w:val="(%1)"/>
      <w:lvlJc w:val="left"/>
      <w:pPr>
        <w:ind w:left="1128"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C92BD9"/>
    <w:multiLevelType w:val="hybridMultilevel"/>
    <w:tmpl w:val="B39E5AF4"/>
    <w:lvl w:ilvl="0" w:tplc="0409001B">
      <w:start w:val="1"/>
      <w:numFmt w:val="lowerRoman"/>
      <w:lvlText w:val="%1."/>
      <w:lvlJc w:val="right"/>
      <w:pPr>
        <w:ind w:left="1500"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06A63E9B"/>
    <w:multiLevelType w:val="hybridMultilevel"/>
    <w:tmpl w:val="43FC9414"/>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07EB7AEE"/>
    <w:multiLevelType w:val="hybridMultilevel"/>
    <w:tmpl w:val="7CD8E8F4"/>
    <w:lvl w:ilvl="0" w:tplc="D2F0E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61131F"/>
    <w:multiLevelType w:val="hybridMultilevel"/>
    <w:tmpl w:val="3F480416"/>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0A0B7AFC"/>
    <w:multiLevelType w:val="hybridMultilevel"/>
    <w:tmpl w:val="02D4F73E"/>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0A0E74DD"/>
    <w:multiLevelType w:val="hybridMultilevel"/>
    <w:tmpl w:val="C788614C"/>
    <w:lvl w:ilvl="0" w:tplc="552A8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7E2E9A"/>
    <w:multiLevelType w:val="hybridMultilevel"/>
    <w:tmpl w:val="AA5C2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647828"/>
    <w:multiLevelType w:val="hybridMultilevel"/>
    <w:tmpl w:val="AD0086BE"/>
    <w:lvl w:ilvl="0" w:tplc="D2F0E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330B7B"/>
    <w:multiLevelType w:val="hybridMultilevel"/>
    <w:tmpl w:val="493C06EC"/>
    <w:lvl w:ilvl="0" w:tplc="D2F0E1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0DFD52D0"/>
    <w:multiLevelType w:val="hybridMultilevel"/>
    <w:tmpl w:val="6868EB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197EA6"/>
    <w:multiLevelType w:val="hybridMultilevel"/>
    <w:tmpl w:val="202EF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5A4C92"/>
    <w:multiLevelType w:val="hybridMultilevel"/>
    <w:tmpl w:val="AC5E3076"/>
    <w:lvl w:ilvl="0" w:tplc="04090017">
      <w:start w:val="1"/>
      <w:numFmt w:val="lowerLetter"/>
      <w:lvlText w:val="%1)"/>
      <w:lvlJc w:val="left"/>
      <w:pPr>
        <w:ind w:left="1203" w:hanging="49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0FD04C55"/>
    <w:multiLevelType w:val="hybridMultilevel"/>
    <w:tmpl w:val="D49CE174"/>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0FF26CE2"/>
    <w:multiLevelType w:val="hybridMultilevel"/>
    <w:tmpl w:val="7338CF4A"/>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109C5B9B"/>
    <w:multiLevelType w:val="hybridMultilevel"/>
    <w:tmpl w:val="AB00C640"/>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10A41C9D"/>
    <w:multiLevelType w:val="hybridMultilevel"/>
    <w:tmpl w:val="CDB07350"/>
    <w:lvl w:ilvl="0" w:tplc="07FA44D8">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1744AB4"/>
    <w:multiLevelType w:val="hybridMultilevel"/>
    <w:tmpl w:val="4C245E6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1AD3D2F"/>
    <w:multiLevelType w:val="hybridMultilevel"/>
    <w:tmpl w:val="F1BE9DD2"/>
    <w:lvl w:ilvl="0" w:tplc="C1402F2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B4558A"/>
    <w:multiLevelType w:val="hybridMultilevel"/>
    <w:tmpl w:val="01741A4A"/>
    <w:lvl w:ilvl="0" w:tplc="FE8494AC">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C972A4"/>
    <w:multiLevelType w:val="hybridMultilevel"/>
    <w:tmpl w:val="89C4883A"/>
    <w:lvl w:ilvl="0" w:tplc="25AEDE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355C8B"/>
    <w:multiLevelType w:val="hybridMultilevel"/>
    <w:tmpl w:val="9BC4309A"/>
    <w:lvl w:ilvl="0" w:tplc="1AA80944">
      <w:start w:val="1"/>
      <w:numFmt w:val="lowerRoman"/>
      <w:lvlText w:val="(%1)"/>
      <w:lvlJc w:val="left"/>
      <w:pPr>
        <w:ind w:left="1428" w:hanging="720"/>
      </w:pPr>
      <w:rPr>
        <w:rFonts w:hint="default"/>
      </w:rPr>
    </w:lvl>
    <w:lvl w:ilvl="1" w:tplc="1074A70E">
      <w:start w:val="1"/>
      <w:numFmt w:val="lowerLetter"/>
      <w:lvlText w:val="(%2)"/>
      <w:lvlJc w:val="left"/>
      <w:pPr>
        <w:ind w:left="1788" w:hanging="360"/>
      </w:pPr>
      <w:rPr>
        <w:rFonts w:hint="default"/>
      </w:rPr>
    </w:lvl>
    <w:lvl w:ilvl="2" w:tplc="D5687D98">
      <w:start w:val="1"/>
      <w:numFmt w:val="lowerLetter"/>
      <w:lvlText w:val="%3)"/>
      <w:lvlJc w:val="left"/>
      <w:pPr>
        <w:ind w:left="3033" w:hanging="705"/>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14967DF9"/>
    <w:multiLevelType w:val="hybridMultilevel"/>
    <w:tmpl w:val="42D65998"/>
    <w:lvl w:ilvl="0" w:tplc="04090017">
      <w:start w:val="1"/>
      <w:numFmt w:val="lowerLetter"/>
      <w:lvlText w:val="%1)"/>
      <w:lvlJc w:val="left"/>
      <w:pPr>
        <w:ind w:left="3588" w:hanging="360"/>
      </w:pPr>
      <w:rPr>
        <w:rFonts w:hint="default"/>
      </w:rPr>
    </w:lvl>
    <w:lvl w:ilvl="1" w:tplc="04090019" w:tentative="1">
      <w:start w:val="1"/>
      <w:numFmt w:val="lowerLetter"/>
      <w:lvlText w:val="%2."/>
      <w:lvlJc w:val="left"/>
      <w:pPr>
        <w:ind w:left="4308" w:hanging="360"/>
      </w:pPr>
    </w:lvl>
    <w:lvl w:ilvl="2" w:tplc="0409001B" w:tentative="1">
      <w:start w:val="1"/>
      <w:numFmt w:val="lowerRoman"/>
      <w:lvlText w:val="%3."/>
      <w:lvlJc w:val="right"/>
      <w:pPr>
        <w:ind w:left="5028" w:hanging="180"/>
      </w:pPr>
    </w:lvl>
    <w:lvl w:ilvl="3" w:tplc="0409000F" w:tentative="1">
      <w:start w:val="1"/>
      <w:numFmt w:val="decimal"/>
      <w:lvlText w:val="%4."/>
      <w:lvlJc w:val="left"/>
      <w:pPr>
        <w:ind w:left="5748" w:hanging="360"/>
      </w:pPr>
    </w:lvl>
    <w:lvl w:ilvl="4" w:tplc="04090019" w:tentative="1">
      <w:start w:val="1"/>
      <w:numFmt w:val="lowerLetter"/>
      <w:lvlText w:val="%5."/>
      <w:lvlJc w:val="left"/>
      <w:pPr>
        <w:ind w:left="6468" w:hanging="360"/>
      </w:pPr>
    </w:lvl>
    <w:lvl w:ilvl="5" w:tplc="0409001B" w:tentative="1">
      <w:start w:val="1"/>
      <w:numFmt w:val="lowerRoman"/>
      <w:lvlText w:val="%6."/>
      <w:lvlJc w:val="right"/>
      <w:pPr>
        <w:ind w:left="7188" w:hanging="180"/>
      </w:pPr>
    </w:lvl>
    <w:lvl w:ilvl="6" w:tplc="0409000F" w:tentative="1">
      <w:start w:val="1"/>
      <w:numFmt w:val="decimal"/>
      <w:lvlText w:val="%7."/>
      <w:lvlJc w:val="left"/>
      <w:pPr>
        <w:ind w:left="7908" w:hanging="360"/>
      </w:pPr>
    </w:lvl>
    <w:lvl w:ilvl="7" w:tplc="04090019" w:tentative="1">
      <w:start w:val="1"/>
      <w:numFmt w:val="lowerLetter"/>
      <w:lvlText w:val="%8."/>
      <w:lvlJc w:val="left"/>
      <w:pPr>
        <w:ind w:left="8628" w:hanging="360"/>
      </w:pPr>
    </w:lvl>
    <w:lvl w:ilvl="8" w:tplc="0409001B" w:tentative="1">
      <w:start w:val="1"/>
      <w:numFmt w:val="lowerRoman"/>
      <w:lvlText w:val="%9."/>
      <w:lvlJc w:val="right"/>
      <w:pPr>
        <w:ind w:left="9348" w:hanging="180"/>
      </w:pPr>
    </w:lvl>
  </w:abstractNum>
  <w:abstractNum w:abstractNumId="29" w15:restartNumberingAfterBreak="0">
    <w:nsid w:val="149E1A72"/>
    <w:multiLevelType w:val="hybridMultilevel"/>
    <w:tmpl w:val="D3980F4A"/>
    <w:lvl w:ilvl="0" w:tplc="0E648D2C">
      <w:start w:val="1"/>
      <w:numFmt w:val="lowerLetter"/>
      <w:pStyle w:val="Heading8"/>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561606E"/>
    <w:multiLevelType w:val="hybridMultilevel"/>
    <w:tmpl w:val="0CF8D85C"/>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169623B1"/>
    <w:multiLevelType w:val="hybridMultilevel"/>
    <w:tmpl w:val="BEBA7386"/>
    <w:lvl w:ilvl="0" w:tplc="3E0835FA">
      <w:start w:val="1"/>
      <w:numFmt w:val="decimal"/>
      <w:lvlText w:val="%1."/>
      <w:lvlJc w:val="left"/>
      <w:pPr>
        <w:ind w:left="360" w:hanging="360"/>
      </w:pPr>
      <w:rPr>
        <w:b/>
        <w:bCs/>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70F4EF1"/>
    <w:multiLevelType w:val="hybridMultilevel"/>
    <w:tmpl w:val="87B465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83610AF"/>
    <w:multiLevelType w:val="hybridMultilevel"/>
    <w:tmpl w:val="982EA558"/>
    <w:lvl w:ilvl="0" w:tplc="D2F0E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5A7711"/>
    <w:multiLevelType w:val="hybridMultilevel"/>
    <w:tmpl w:val="340278D0"/>
    <w:lvl w:ilvl="0" w:tplc="2EDAE998">
      <w:start w:val="2"/>
      <w:numFmt w:val="decimal"/>
      <w:lvlText w:val="(%1)"/>
      <w:lvlJc w:val="left"/>
      <w:pPr>
        <w:ind w:left="1128"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A33208"/>
    <w:multiLevelType w:val="hybridMultilevel"/>
    <w:tmpl w:val="6B66872C"/>
    <w:lvl w:ilvl="0" w:tplc="5260947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BD0C54"/>
    <w:multiLevelType w:val="hybridMultilevel"/>
    <w:tmpl w:val="65F044A0"/>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1BB0618E"/>
    <w:multiLevelType w:val="hybridMultilevel"/>
    <w:tmpl w:val="5D0CF8F2"/>
    <w:lvl w:ilvl="0" w:tplc="08308F92">
      <w:start w:val="2"/>
      <w:numFmt w:val="decimal"/>
      <w:lvlText w:val="(%1)"/>
      <w:lvlJc w:val="left"/>
      <w:pPr>
        <w:ind w:left="1128" w:hanging="4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C336AB"/>
    <w:multiLevelType w:val="hybridMultilevel"/>
    <w:tmpl w:val="C228F676"/>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1C4F4A7E"/>
    <w:multiLevelType w:val="hybridMultilevel"/>
    <w:tmpl w:val="0FF479E0"/>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1DA62013"/>
    <w:multiLevelType w:val="hybridMultilevel"/>
    <w:tmpl w:val="26283D96"/>
    <w:lvl w:ilvl="0" w:tplc="5682534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1ECF147E"/>
    <w:multiLevelType w:val="hybridMultilevel"/>
    <w:tmpl w:val="AF2236A8"/>
    <w:lvl w:ilvl="0" w:tplc="4E0EFED0">
      <w:start w:val="2"/>
      <w:numFmt w:val="decimal"/>
      <w:lvlText w:val="(%1)"/>
      <w:lvlJc w:val="left"/>
      <w:pPr>
        <w:ind w:left="13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245CC6"/>
    <w:multiLevelType w:val="hybridMultilevel"/>
    <w:tmpl w:val="F59AAA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1F2A4F53"/>
    <w:multiLevelType w:val="hybridMultilevel"/>
    <w:tmpl w:val="BFC47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B26E46"/>
    <w:multiLevelType w:val="hybridMultilevel"/>
    <w:tmpl w:val="A31A9DCE"/>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22957041"/>
    <w:multiLevelType w:val="hybridMultilevel"/>
    <w:tmpl w:val="595469C8"/>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15:restartNumberingAfterBreak="0">
    <w:nsid w:val="230F2CCF"/>
    <w:multiLevelType w:val="hybridMultilevel"/>
    <w:tmpl w:val="975E5AB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409350E"/>
    <w:multiLevelType w:val="hybridMultilevel"/>
    <w:tmpl w:val="2B5CD254"/>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8" w15:restartNumberingAfterBreak="0">
    <w:nsid w:val="24870E19"/>
    <w:multiLevelType w:val="hybridMultilevel"/>
    <w:tmpl w:val="B90C99FA"/>
    <w:lvl w:ilvl="0" w:tplc="0409000F">
      <w:start w:val="1"/>
      <w:numFmt w:val="decimal"/>
      <w:lvlText w:val="%1."/>
      <w:lvlJc w:val="left"/>
      <w:pPr>
        <w:ind w:left="360" w:hanging="360"/>
      </w:pPr>
      <w:rPr>
        <w:rFonts w:hint="default"/>
      </w:rPr>
    </w:lvl>
    <w:lvl w:ilvl="1" w:tplc="35AA1EE4">
      <w:start w:val="21"/>
      <w:numFmt w:val="bullet"/>
      <w:lvlText w:val="-"/>
      <w:lvlJc w:val="left"/>
      <w:rPr>
        <w:rFonts w:ascii="Times New Roman" w:eastAsia="Calibri" w:hAnsi="Times New Roman" w:cs="Times New Roman" w:hint="default"/>
      </w:rPr>
    </w:lvl>
    <w:lvl w:ilvl="2" w:tplc="7990FA1E">
      <w:start w:val="1"/>
      <w:numFmt w:val="lowerLetter"/>
      <w:lvlText w:val="%3)"/>
      <w:lvlJc w:val="left"/>
      <w:pPr>
        <w:ind w:left="1980" w:hanging="360"/>
      </w:pPr>
      <w:rPr>
        <w:rFonts w:hint="default"/>
      </w:rPr>
    </w:lvl>
    <w:lvl w:ilvl="3" w:tplc="D2F0E1A6">
      <w:start w:val="1"/>
      <w:numFmt w:val="decimal"/>
      <w:lvlText w:val="(%4)"/>
      <w:lvlJc w:val="left"/>
      <w:pPr>
        <w:ind w:left="2580" w:hanging="4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5364D1F"/>
    <w:multiLevelType w:val="hybridMultilevel"/>
    <w:tmpl w:val="E2883E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653F23"/>
    <w:multiLevelType w:val="hybridMultilevel"/>
    <w:tmpl w:val="6B8A1FD2"/>
    <w:lvl w:ilvl="0" w:tplc="0409001B">
      <w:start w:val="1"/>
      <w:numFmt w:val="lowerRoman"/>
      <w:lvlText w:val="%1."/>
      <w:lvlJc w:val="right"/>
      <w:pPr>
        <w:ind w:left="1500"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 w15:restartNumberingAfterBreak="0">
    <w:nsid w:val="25880FA2"/>
    <w:multiLevelType w:val="hybridMultilevel"/>
    <w:tmpl w:val="E7FC2AAE"/>
    <w:lvl w:ilvl="0" w:tplc="A6F48A24">
      <w:start w:val="5"/>
      <w:numFmt w:val="decimal"/>
      <w:lvlText w:val="%1."/>
      <w:lvlJc w:val="left"/>
      <w:pPr>
        <w:ind w:left="99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5A317BA"/>
    <w:multiLevelType w:val="hybridMultilevel"/>
    <w:tmpl w:val="EB8E2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B432B7"/>
    <w:multiLevelType w:val="hybridMultilevel"/>
    <w:tmpl w:val="B8CE6B62"/>
    <w:lvl w:ilvl="0" w:tplc="79CE2F06">
      <w:start w:val="2"/>
      <w:numFmt w:val="decimal"/>
      <w:lvlText w:val="(%1)"/>
      <w:lvlJc w:val="left"/>
      <w:pPr>
        <w:ind w:left="1128"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3B52CA"/>
    <w:multiLevelType w:val="hybridMultilevel"/>
    <w:tmpl w:val="87F07792"/>
    <w:lvl w:ilvl="0" w:tplc="1324AC1C">
      <w:start w:val="2"/>
      <w:numFmt w:val="decimal"/>
      <w:lvlText w:val="(%1)"/>
      <w:lvlJc w:val="left"/>
      <w:pPr>
        <w:ind w:left="13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07033F"/>
    <w:multiLevelType w:val="hybridMultilevel"/>
    <w:tmpl w:val="90E87C80"/>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0D423B"/>
    <w:multiLevelType w:val="hybridMultilevel"/>
    <w:tmpl w:val="3C3ADF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AC1B3D"/>
    <w:multiLevelType w:val="hybridMultilevel"/>
    <w:tmpl w:val="CD305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014E98"/>
    <w:multiLevelType w:val="hybridMultilevel"/>
    <w:tmpl w:val="94143C34"/>
    <w:lvl w:ilvl="0" w:tplc="F064BCB0">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29444394"/>
    <w:multiLevelType w:val="hybridMultilevel"/>
    <w:tmpl w:val="36E2F318"/>
    <w:lvl w:ilvl="0" w:tplc="718EE7DA">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A792A85"/>
    <w:multiLevelType w:val="hybridMultilevel"/>
    <w:tmpl w:val="43FEDCE4"/>
    <w:lvl w:ilvl="0" w:tplc="D2F0E1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8C4F9B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4374AC"/>
    <w:multiLevelType w:val="hybridMultilevel"/>
    <w:tmpl w:val="5A48DBA2"/>
    <w:lvl w:ilvl="0" w:tplc="3148EBD2">
      <w:start w:val="1"/>
      <w:numFmt w:val="lowerLetter"/>
      <w:lvlText w:val="%1)"/>
      <w:lvlJc w:val="left"/>
      <w:pPr>
        <w:ind w:left="-58" w:hanging="360"/>
      </w:pPr>
      <w:rPr>
        <w:rFonts w:hint="default"/>
        <w:b w:val="0"/>
      </w:rPr>
    </w:lvl>
    <w:lvl w:ilvl="1" w:tplc="04090019" w:tentative="1">
      <w:start w:val="1"/>
      <w:numFmt w:val="lowerLetter"/>
      <w:lvlText w:val="%2."/>
      <w:lvlJc w:val="left"/>
      <w:pPr>
        <w:ind w:left="662" w:hanging="360"/>
      </w:pPr>
    </w:lvl>
    <w:lvl w:ilvl="2" w:tplc="0409001B" w:tentative="1">
      <w:start w:val="1"/>
      <w:numFmt w:val="lowerRoman"/>
      <w:lvlText w:val="%3."/>
      <w:lvlJc w:val="right"/>
      <w:pPr>
        <w:ind w:left="1382" w:hanging="180"/>
      </w:pPr>
    </w:lvl>
    <w:lvl w:ilvl="3" w:tplc="0409000F" w:tentative="1">
      <w:start w:val="1"/>
      <w:numFmt w:val="decimal"/>
      <w:lvlText w:val="%4."/>
      <w:lvlJc w:val="left"/>
      <w:pPr>
        <w:ind w:left="2102" w:hanging="360"/>
      </w:pPr>
    </w:lvl>
    <w:lvl w:ilvl="4" w:tplc="04090019" w:tentative="1">
      <w:start w:val="1"/>
      <w:numFmt w:val="lowerLetter"/>
      <w:lvlText w:val="%5."/>
      <w:lvlJc w:val="left"/>
      <w:pPr>
        <w:ind w:left="2822" w:hanging="360"/>
      </w:pPr>
    </w:lvl>
    <w:lvl w:ilvl="5" w:tplc="0409001B" w:tentative="1">
      <w:start w:val="1"/>
      <w:numFmt w:val="lowerRoman"/>
      <w:lvlText w:val="%6."/>
      <w:lvlJc w:val="right"/>
      <w:pPr>
        <w:ind w:left="3542" w:hanging="180"/>
      </w:pPr>
    </w:lvl>
    <w:lvl w:ilvl="6" w:tplc="0409000F" w:tentative="1">
      <w:start w:val="1"/>
      <w:numFmt w:val="decimal"/>
      <w:lvlText w:val="%7."/>
      <w:lvlJc w:val="left"/>
      <w:pPr>
        <w:ind w:left="4262" w:hanging="360"/>
      </w:pPr>
    </w:lvl>
    <w:lvl w:ilvl="7" w:tplc="04090019" w:tentative="1">
      <w:start w:val="1"/>
      <w:numFmt w:val="lowerLetter"/>
      <w:lvlText w:val="%8."/>
      <w:lvlJc w:val="left"/>
      <w:pPr>
        <w:ind w:left="4982" w:hanging="360"/>
      </w:pPr>
    </w:lvl>
    <w:lvl w:ilvl="8" w:tplc="0409001B" w:tentative="1">
      <w:start w:val="1"/>
      <w:numFmt w:val="lowerRoman"/>
      <w:lvlText w:val="%9."/>
      <w:lvlJc w:val="right"/>
      <w:pPr>
        <w:ind w:left="5702" w:hanging="180"/>
      </w:pPr>
    </w:lvl>
  </w:abstractNum>
  <w:abstractNum w:abstractNumId="62" w15:restartNumberingAfterBreak="0">
    <w:nsid w:val="2BD25C69"/>
    <w:multiLevelType w:val="hybridMultilevel"/>
    <w:tmpl w:val="D78A5ABC"/>
    <w:lvl w:ilvl="0" w:tplc="AC2CB07E">
      <w:start w:val="1"/>
      <w:numFmt w:val="lowerRoman"/>
      <w:lvlText w:val="(%1)"/>
      <w:lvlJc w:val="left"/>
      <w:pPr>
        <w:ind w:left="142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DB2579"/>
    <w:multiLevelType w:val="hybridMultilevel"/>
    <w:tmpl w:val="7F4E56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EEA7FE6"/>
    <w:multiLevelType w:val="hybridMultilevel"/>
    <w:tmpl w:val="B9C07BEC"/>
    <w:lvl w:ilvl="0" w:tplc="04090017">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5" w15:restartNumberingAfterBreak="0">
    <w:nsid w:val="2F575092"/>
    <w:multiLevelType w:val="hybridMultilevel"/>
    <w:tmpl w:val="DEBA1F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F8715FB"/>
    <w:multiLevelType w:val="hybridMultilevel"/>
    <w:tmpl w:val="02363084"/>
    <w:lvl w:ilvl="0" w:tplc="8CC86A9C">
      <w:start w:val="2"/>
      <w:numFmt w:val="decimal"/>
      <w:lvlText w:val="(%1)"/>
      <w:lvlJc w:val="left"/>
      <w:pPr>
        <w:ind w:left="12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0B3FF0"/>
    <w:multiLevelType w:val="hybridMultilevel"/>
    <w:tmpl w:val="2548A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736B85"/>
    <w:multiLevelType w:val="hybridMultilevel"/>
    <w:tmpl w:val="53427430"/>
    <w:lvl w:ilvl="0" w:tplc="FFFFFFFF">
      <w:start w:val="5"/>
      <w:numFmt w:val="decimal"/>
      <w:lvlText w:val="(%1)"/>
      <w:lvlJc w:val="left"/>
      <w:pPr>
        <w:ind w:left="720" w:hanging="360"/>
      </w:pPr>
      <w:rPr>
        <w:rFonts w:hint="default"/>
      </w:rPr>
    </w:lvl>
    <w:lvl w:ilvl="1" w:tplc="04090017">
      <w:start w:val="1"/>
      <w:numFmt w:val="lowerLetter"/>
      <w:lvlText w:val="%2)"/>
      <w:lvlJc w:val="left"/>
      <w:pPr>
        <w:ind w:left="3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0F01144"/>
    <w:multiLevelType w:val="hybridMultilevel"/>
    <w:tmpl w:val="A0709848"/>
    <w:lvl w:ilvl="0" w:tplc="76FC4106">
      <w:start w:val="1"/>
      <w:numFmt w:val="decimal"/>
      <w:pStyle w:val="Heading5"/>
      <w:lvlText w:val="Art. %1"/>
      <w:lvlJc w:val="left"/>
      <w:pPr>
        <w:ind w:left="8370" w:hanging="360"/>
      </w:pPr>
      <w:rPr>
        <w:b/>
        <w:bCs/>
      </w:rPr>
    </w:lvl>
    <w:lvl w:ilvl="1" w:tplc="058667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8B4341"/>
    <w:multiLevelType w:val="hybridMultilevel"/>
    <w:tmpl w:val="2490088A"/>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1" w15:restartNumberingAfterBreak="0">
    <w:nsid w:val="32C329DA"/>
    <w:multiLevelType w:val="hybridMultilevel"/>
    <w:tmpl w:val="0ECE62AE"/>
    <w:lvl w:ilvl="0" w:tplc="3D069B0E">
      <w:start w:val="1"/>
      <w:numFmt w:val="decimal"/>
      <w:pStyle w:val="Heading9"/>
      <w:lvlText w:val="%1"/>
      <w:lvlJc w:val="left"/>
      <w:pPr>
        <w:ind w:left="1040" w:hanging="360"/>
      </w:pPr>
      <w:rPr>
        <w:rFonts w:cs="Times New Roman" w:hint="default"/>
        <w:b w:val="0"/>
        <w:bCs w:val="0"/>
        <w:i w:val="0"/>
        <w:iCs w:val="0"/>
        <w:caps w:val="0"/>
        <w:strike w:val="0"/>
        <w:dstrike w:val="0"/>
        <w:vanish w:val="0"/>
        <w:color w:val="auto"/>
        <w:sz w:val="24"/>
        <w:szCs w:val="24"/>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331B625C"/>
    <w:multiLevelType w:val="hybridMultilevel"/>
    <w:tmpl w:val="7B1686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8116FF"/>
    <w:multiLevelType w:val="hybridMultilevel"/>
    <w:tmpl w:val="7B1686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987A95"/>
    <w:multiLevelType w:val="hybridMultilevel"/>
    <w:tmpl w:val="F00CB1BC"/>
    <w:lvl w:ilvl="0" w:tplc="04090017">
      <w:start w:val="1"/>
      <w:numFmt w:val="lowerLetter"/>
      <w:lvlText w:val="%1)"/>
      <w:lvlJc w:val="left"/>
      <w:pPr>
        <w:ind w:left="1233" w:hanging="360"/>
      </w:p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75" w15:restartNumberingAfterBreak="0">
    <w:nsid w:val="33F31E10"/>
    <w:multiLevelType w:val="hybridMultilevel"/>
    <w:tmpl w:val="24147672"/>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6" w15:restartNumberingAfterBreak="0">
    <w:nsid w:val="34457F0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348F7F45"/>
    <w:multiLevelType w:val="hybridMultilevel"/>
    <w:tmpl w:val="F2764614"/>
    <w:lvl w:ilvl="0" w:tplc="04090017">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15:restartNumberingAfterBreak="0">
    <w:nsid w:val="349455D4"/>
    <w:multiLevelType w:val="hybridMultilevel"/>
    <w:tmpl w:val="DEBA1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AF6716"/>
    <w:multiLevelType w:val="hybridMultilevel"/>
    <w:tmpl w:val="007A8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4EA363F"/>
    <w:multiLevelType w:val="hybridMultilevel"/>
    <w:tmpl w:val="853E21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A374BF"/>
    <w:multiLevelType w:val="hybridMultilevel"/>
    <w:tmpl w:val="209668D4"/>
    <w:lvl w:ilvl="0" w:tplc="0B38D128">
      <w:start w:val="2"/>
      <w:numFmt w:val="decimal"/>
      <w:lvlText w:val="(%1)"/>
      <w:lvlJc w:val="left"/>
      <w:pPr>
        <w:ind w:left="12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782F01"/>
    <w:multiLevelType w:val="hybridMultilevel"/>
    <w:tmpl w:val="F0382E42"/>
    <w:lvl w:ilvl="0" w:tplc="ECFAC96A">
      <w:start w:val="2"/>
      <w:numFmt w:val="decimal"/>
      <w:lvlText w:val="(%1)"/>
      <w:lvlJc w:val="left"/>
      <w:pPr>
        <w:ind w:left="1128"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B96A14"/>
    <w:multiLevelType w:val="hybridMultilevel"/>
    <w:tmpl w:val="872C28A8"/>
    <w:lvl w:ilvl="0" w:tplc="C2801C6A">
      <w:start w:val="2"/>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85E289E"/>
    <w:multiLevelType w:val="hybridMultilevel"/>
    <w:tmpl w:val="007E5D76"/>
    <w:lvl w:ilvl="0" w:tplc="7990F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A7B4218"/>
    <w:multiLevelType w:val="hybridMultilevel"/>
    <w:tmpl w:val="ADBEC2A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3B1269E6"/>
    <w:multiLevelType w:val="hybridMultilevel"/>
    <w:tmpl w:val="4C245776"/>
    <w:lvl w:ilvl="0" w:tplc="0409001B">
      <w:start w:val="1"/>
      <w:numFmt w:val="lowerRoman"/>
      <w:lvlText w:val="%1."/>
      <w:lvlJc w:val="right"/>
      <w:pPr>
        <w:ind w:left="1500"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7" w15:restartNumberingAfterBreak="0">
    <w:nsid w:val="3D1E58AE"/>
    <w:multiLevelType w:val="hybridMultilevel"/>
    <w:tmpl w:val="7ACA2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D4A70D8"/>
    <w:multiLevelType w:val="hybridMultilevel"/>
    <w:tmpl w:val="B8BEF7AC"/>
    <w:lvl w:ilvl="0" w:tplc="7990F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933917"/>
    <w:multiLevelType w:val="hybridMultilevel"/>
    <w:tmpl w:val="E7CC12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A4321E"/>
    <w:multiLevelType w:val="hybridMultilevel"/>
    <w:tmpl w:val="028AB024"/>
    <w:lvl w:ilvl="0" w:tplc="EE9A2FA0">
      <w:start w:val="2"/>
      <w:numFmt w:val="decimal"/>
      <w:lvlText w:val="(%1)"/>
      <w:lvlJc w:val="left"/>
      <w:pPr>
        <w:ind w:left="1128" w:hanging="420"/>
      </w:pPr>
      <w:rPr>
        <w:rFonts w:hint="default"/>
      </w:rPr>
    </w:lvl>
    <w:lvl w:ilvl="1" w:tplc="F8AEF478">
      <w:numFmt w:val="bullet"/>
      <w:lvlText w:val=""/>
      <w:lvlJc w:val="left"/>
      <w:pPr>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A67E11"/>
    <w:multiLevelType w:val="hybridMultilevel"/>
    <w:tmpl w:val="CD305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A67FB5"/>
    <w:multiLevelType w:val="hybridMultilevel"/>
    <w:tmpl w:val="0D3635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BF38AB"/>
    <w:multiLevelType w:val="hybridMultilevel"/>
    <w:tmpl w:val="D46A92B8"/>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4" w15:restartNumberingAfterBreak="0">
    <w:nsid w:val="3FD213D6"/>
    <w:multiLevelType w:val="hybridMultilevel"/>
    <w:tmpl w:val="56DCBD3E"/>
    <w:lvl w:ilvl="0" w:tplc="25AEDE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0AD7901"/>
    <w:multiLevelType w:val="hybridMultilevel"/>
    <w:tmpl w:val="FFAE51BE"/>
    <w:lvl w:ilvl="0" w:tplc="7990FA1E">
      <w:start w:val="1"/>
      <w:numFmt w:val="lowerLetter"/>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6" w15:restartNumberingAfterBreak="0">
    <w:nsid w:val="41AF0736"/>
    <w:multiLevelType w:val="hybridMultilevel"/>
    <w:tmpl w:val="9620B2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2AA4246"/>
    <w:multiLevelType w:val="hybridMultilevel"/>
    <w:tmpl w:val="9538FC96"/>
    <w:lvl w:ilvl="0" w:tplc="04090017">
      <w:start w:val="1"/>
      <w:numFmt w:val="lowerLetter"/>
      <w:lvlText w:val="%1)"/>
      <w:lvlJc w:val="left"/>
      <w:pPr>
        <w:ind w:left="1848" w:hanging="360"/>
      </w:pPr>
    </w:lvl>
    <w:lvl w:ilvl="1" w:tplc="04090019">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98" w15:restartNumberingAfterBreak="0">
    <w:nsid w:val="44E54218"/>
    <w:multiLevelType w:val="hybridMultilevel"/>
    <w:tmpl w:val="A06E25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BD2169"/>
    <w:multiLevelType w:val="hybridMultilevel"/>
    <w:tmpl w:val="F4C6EF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46CD78A3"/>
    <w:multiLevelType w:val="multilevel"/>
    <w:tmpl w:val="BF48D1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0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numFmt w:val="bullet"/>
      <w:pStyle w:val="Heading7"/>
      <w:lvlText w:val="-"/>
      <w:lvlJc w:val="left"/>
      <w:pPr>
        <w:ind w:left="1296" w:hanging="1296"/>
      </w:pPr>
      <w:rPr>
        <w:rFonts w:ascii="Arial" w:eastAsia="Times New Roman" w:hAnsi="Arial" w:hint="default"/>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15:restartNumberingAfterBreak="0">
    <w:nsid w:val="46E63772"/>
    <w:multiLevelType w:val="hybridMultilevel"/>
    <w:tmpl w:val="C3925DD8"/>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2" w15:restartNumberingAfterBreak="0">
    <w:nsid w:val="475966A6"/>
    <w:multiLevelType w:val="hybridMultilevel"/>
    <w:tmpl w:val="8F226C68"/>
    <w:lvl w:ilvl="0" w:tplc="A5842EE0">
      <w:start w:val="1"/>
      <w:numFmt w:val="low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7733DDC"/>
    <w:multiLevelType w:val="hybridMultilevel"/>
    <w:tmpl w:val="0C602302"/>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4" w15:restartNumberingAfterBreak="0">
    <w:nsid w:val="47C17AA6"/>
    <w:multiLevelType w:val="hybridMultilevel"/>
    <w:tmpl w:val="9BC4309A"/>
    <w:lvl w:ilvl="0" w:tplc="1AA80944">
      <w:start w:val="1"/>
      <w:numFmt w:val="lowerRoman"/>
      <w:lvlText w:val="(%1)"/>
      <w:lvlJc w:val="left"/>
      <w:pPr>
        <w:ind w:left="1428" w:hanging="720"/>
      </w:pPr>
      <w:rPr>
        <w:rFonts w:hint="default"/>
      </w:rPr>
    </w:lvl>
    <w:lvl w:ilvl="1" w:tplc="1074A70E">
      <w:start w:val="1"/>
      <w:numFmt w:val="lowerLetter"/>
      <w:lvlText w:val="(%2)"/>
      <w:lvlJc w:val="left"/>
      <w:pPr>
        <w:ind w:left="1788" w:hanging="360"/>
      </w:pPr>
      <w:rPr>
        <w:rFonts w:hint="default"/>
      </w:rPr>
    </w:lvl>
    <w:lvl w:ilvl="2" w:tplc="D5687D98">
      <w:start w:val="1"/>
      <w:numFmt w:val="lowerLetter"/>
      <w:lvlText w:val="%3)"/>
      <w:lvlJc w:val="left"/>
      <w:pPr>
        <w:ind w:left="3033" w:hanging="705"/>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5" w15:restartNumberingAfterBreak="0">
    <w:nsid w:val="49614BFF"/>
    <w:multiLevelType w:val="hybridMultilevel"/>
    <w:tmpl w:val="7D489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9A879F9"/>
    <w:multiLevelType w:val="hybridMultilevel"/>
    <w:tmpl w:val="3AA07AEA"/>
    <w:lvl w:ilvl="0" w:tplc="25AEDE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A641855"/>
    <w:multiLevelType w:val="hybridMultilevel"/>
    <w:tmpl w:val="79B0F8C0"/>
    <w:lvl w:ilvl="0" w:tplc="9DD0B698">
      <w:start w:val="2"/>
      <w:numFmt w:val="decimal"/>
      <w:lvlText w:val="(%1)"/>
      <w:lvlJc w:val="left"/>
      <w:pPr>
        <w:ind w:left="1128"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AB12F03"/>
    <w:multiLevelType w:val="hybridMultilevel"/>
    <w:tmpl w:val="7938C366"/>
    <w:lvl w:ilvl="0" w:tplc="04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4B3B561C"/>
    <w:multiLevelType w:val="hybridMultilevel"/>
    <w:tmpl w:val="63985002"/>
    <w:lvl w:ilvl="0" w:tplc="7990F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C645327"/>
    <w:multiLevelType w:val="hybridMultilevel"/>
    <w:tmpl w:val="087A6DFE"/>
    <w:lvl w:ilvl="0" w:tplc="0409001B">
      <w:start w:val="1"/>
      <w:numFmt w:val="lowerRoman"/>
      <w:lvlText w:val="%1."/>
      <w:lvlJc w:val="right"/>
      <w:pPr>
        <w:ind w:left="142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D836389"/>
    <w:multiLevelType w:val="hybridMultilevel"/>
    <w:tmpl w:val="96945840"/>
    <w:lvl w:ilvl="0" w:tplc="0409001B">
      <w:start w:val="1"/>
      <w:numFmt w:val="lowerRoman"/>
      <w:lvlText w:val="%1."/>
      <w:lvlJc w:val="right"/>
      <w:pPr>
        <w:ind w:left="1440" w:hanging="360"/>
      </w:pPr>
      <w:rPr>
        <w:rFonts w:cs="Times New Roman"/>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2" w15:restartNumberingAfterBreak="0">
    <w:nsid w:val="4E6C5102"/>
    <w:multiLevelType w:val="multilevel"/>
    <w:tmpl w:val="528C3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3" w15:restartNumberingAfterBreak="0">
    <w:nsid w:val="503E2D43"/>
    <w:multiLevelType w:val="hybridMultilevel"/>
    <w:tmpl w:val="06400C84"/>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4" w15:restartNumberingAfterBreak="0">
    <w:nsid w:val="52001A12"/>
    <w:multiLevelType w:val="hybridMultilevel"/>
    <w:tmpl w:val="A652018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5" w15:restartNumberingAfterBreak="0">
    <w:nsid w:val="520D79A8"/>
    <w:multiLevelType w:val="hybridMultilevel"/>
    <w:tmpl w:val="6E40EA8C"/>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6" w15:restartNumberingAfterBreak="0">
    <w:nsid w:val="52AF4581"/>
    <w:multiLevelType w:val="hybridMultilevel"/>
    <w:tmpl w:val="56DCBD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38C61B7"/>
    <w:multiLevelType w:val="hybridMultilevel"/>
    <w:tmpl w:val="B1E636C0"/>
    <w:lvl w:ilvl="0" w:tplc="6E0404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39C3F6F"/>
    <w:multiLevelType w:val="hybridMultilevel"/>
    <w:tmpl w:val="30EC3F1A"/>
    <w:lvl w:ilvl="0" w:tplc="FB56D0FA">
      <w:start w:val="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53344D1"/>
    <w:multiLevelType w:val="multilevel"/>
    <w:tmpl w:val="F1562C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bullet"/>
      <w:lvlText w:val=""/>
      <w:lvlJc w:val="left"/>
      <w:pPr>
        <w:ind w:left="1008" w:hanging="1008"/>
      </w:pPr>
      <w:rPr>
        <w:rFonts w:ascii="Symbol" w:hAnsi="Symbol"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0" w15:restartNumberingAfterBreak="0">
    <w:nsid w:val="555A15F4"/>
    <w:multiLevelType w:val="hybridMultilevel"/>
    <w:tmpl w:val="ADBEC2A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6567169"/>
    <w:multiLevelType w:val="hybridMultilevel"/>
    <w:tmpl w:val="26B08348"/>
    <w:lvl w:ilvl="0" w:tplc="AE2EB7E8">
      <w:start w:val="2"/>
      <w:numFmt w:val="decimal"/>
      <w:lvlText w:val="(%1)"/>
      <w:lvlJc w:val="left"/>
      <w:pPr>
        <w:ind w:left="159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67E66A5"/>
    <w:multiLevelType w:val="hybridMultilevel"/>
    <w:tmpl w:val="0DA4A2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7DD7E86"/>
    <w:multiLevelType w:val="hybridMultilevel"/>
    <w:tmpl w:val="CE5AFE2E"/>
    <w:lvl w:ilvl="0" w:tplc="04090017">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4" w15:restartNumberingAfterBreak="0">
    <w:nsid w:val="581261DC"/>
    <w:multiLevelType w:val="hybridMultilevel"/>
    <w:tmpl w:val="311AF9C6"/>
    <w:lvl w:ilvl="0" w:tplc="5D0ACD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8947321"/>
    <w:multiLevelType w:val="hybridMultilevel"/>
    <w:tmpl w:val="7974B968"/>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6" w15:restartNumberingAfterBreak="0">
    <w:nsid w:val="58FC13B5"/>
    <w:multiLevelType w:val="hybridMultilevel"/>
    <w:tmpl w:val="DEBA1F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908436C"/>
    <w:multiLevelType w:val="hybridMultilevel"/>
    <w:tmpl w:val="01F2F27A"/>
    <w:lvl w:ilvl="0" w:tplc="63D69274">
      <w:start w:val="1"/>
      <w:numFmt w:val="lowerRoman"/>
      <w:lvlText w:val="%1)"/>
      <w:lvlJc w:val="left"/>
      <w:pPr>
        <w:ind w:left="1138" w:hanging="72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28" w15:restartNumberingAfterBreak="0">
    <w:nsid w:val="59BC56AE"/>
    <w:multiLevelType w:val="hybridMultilevel"/>
    <w:tmpl w:val="2D72C44E"/>
    <w:lvl w:ilvl="0" w:tplc="1AA809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A2E5D6A"/>
    <w:multiLevelType w:val="hybridMultilevel"/>
    <w:tmpl w:val="B2A84416"/>
    <w:lvl w:ilvl="0" w:tplc="25AEDE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B17C1C"/>
    <w:multiLevelType w:val="hybridMultilevel"/>
    <w:tmpl w:val="0046BCFA"/>
    <w:lvl w:ilvl="0" w:tplc="AD9CAD56">
      <w:start w:val="2"/>
      <w:numFmt w:val="decimal"/>
      <w:lvlText w:val="(%1)"/>
      <w:lvlJc w:val="left"/>
      <w:pPr>
        <w:ind w:left="1068" w:hanging="360"/>
      </w:pPr>
      <w:rPr>
        <w:rFonts w:hint="default"/>
      </w:rPr>
    </w:lvl>
    <w:lvl w:ilvl="1" w:tplc="04090017">
      <w:start w:val="1"/>
      <w:numFmt w:val="lowerLetter"/>
      <w:lvlText w:val="%2)"/>
      <w:lvlJc w:val="left"/>
      <w:pPr>
        <w:ind w:left="106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B4C389E"/>
    <w:multiLevelType w:val="hybridMultilevel"/>
    <w:tmpl w:val="A1780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C183F20"/>
    <w:multiLevelType w:val="hybridMultilevel"/>
    <w:tmpl w:val="96C44B5E"/>
    <w:lvl w:ilvl="0" w:tplc="65143940">
      <w:start w:val="2"/>
      <w:numFmt w:val="decimal"/>
      <w:lvlText w:val="(%1)"/>
      <w:lvlJc w:val="left"/>
      <w:pPr>
        <w:ind w:left="1128"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CBB3543"/>
    <w:multiLevelType w:val="hybridMultilevel"/>
    <w:tmpl w:val="D0223288"/>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4" w15:restartNumberingAfterBreak="0">
    <w:nsid w:val="5CDF3203"/>
    <w:multiLevelType w:val="hybridMultilevel"/>
    <w:tmpl w:val="A2006E1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5" w15:restartNumberingAfterBreak="0">
    <w:nsid w:val="5D3E5867"/>
    <w:multiLevelType w:val="hybridMultilevel"/>
    <w:tmpl w:val="78969966"/>
    <w:lvl w:ilvl="0" w:tplc="AFEC9982">
      <w:start w:val="2"/>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D5A187D"/>
    <w:multiLevelType w:val="hybridMultilevel"/>
    <w:tmpl w:val="D28600BE"/>
    <w:lvl w:ilvl="0" w:tplc="25AEDE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F115623"/>
    <w:multiLevelType w:val="hybridMultilevel"/>
    <w:tmpl w:val="14C8B310"/>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8" w15:restartNumberingAfterBreak="0">
    <w:nsid w:val="5FB56F6C"/>
    <w:multiLevelType w:val="hybridMultilevel"/>
    <w:tmpl w:val="AFFE1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04E5431"/>
    <w:multiLevelType w:val="hybridMultilevel"/>
    <w:tmpl w:val="271CB5BE"/>
    <w:lvl w:ilvl="0" w:tplc="D5526CFE">
      <w:start w:val="2"/>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863D17"/>
    <w:multiLevelType w:val="hybridMultilevel"/>
    <w:tmpl w:val="9BF452B6"/>
    <w:lvl w:ilvl="0" w:tplc="07FA44D8">
      <w:start w:val="1"/>
      <w:numFmt w:val="lowerRoman"/>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1" w15:restartNumberingAfterBreak="0">
    <w:nsid w:val="62367217"/>
    <w:multiLevelType w:val="hybridMultilevel"/>
    <w:tmpl w:val="333E30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2BA40CB"/>
    <w:multiLevelType w:val="hybridMultilevel"/>
    <w:tmpl w:val="9312B4AA"/>
    <w:lvl w:ilvl="0" w:tplc="EAD46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3823121"/>
    <w:multiLevelType w:val="hybridMultilevel"/>
    <w:tmpl w:val="5BCC3160"/>
    <w:lvl w:ilvl="0" w:tplc="7D1E69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5066BFA"/>
    <w:multiLevelType w:val="hybridMultilevel"/>
    <w:tmpl w:val="1F2C447C"/>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5" w15:restartNumberingAfterBreak="0">
    <w:nsid w:val="651638E6"/>
    <w:multiLevelType w:val="hybridMultilevel"/>
    <w:tmpl w:val="FD0A249E"/>
    <w:lvl w:ilvl="0" w:tplc="343092D0">
      <w:start w:val="2"/>
      <w:numFmt w:val="decimal"/>
      <w:lvlText w:val="(%1)"/>
      <w:lvlJc w:val="left"/>
      <w:pPr>
        <w:ind w:left="1128"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68B1FBB"/>
    <w:multiLevelType w:val="hybridMultilevel"/>
    <w:tmpl w:val="C00E6390"/>
    <w:lvl w:ilvl="0" w:tplc="07FA44D8">
      <w:start w:val="1"/>
      <w:numFmt w:val="lowerRoman"/>
      <w:lvlText w:val="(%1)"/>
      <w:lvlJc w:val="left"/>
      <w:pPr>
        <w:ind w:left="1428" w:hanging="360"/>
      </w:pPr>
      <w:rPr>
        <w:rFonts w:hint="default"/>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242063D0">
      <w:start w:val="1"/>
      <w:numFmt w:val="lowerLetter"/>
      <w:lvlText w:val="%5)"/>
      <w:lvlJc w:val="left"/>
      <w:pPr>
        <w:ind w:left="4308" w:hanging="360"/>
      </w:pPr>
      <w:rPr>
        <w:rFonts w:hint="default"/>
      </w:r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7" w15:restartNumberingAfterBreak="0">
    <w:nsid w:val="67B3080C"/>
    <w:multiLevelType w:val="hybridMultilevel"/>
    <w:tmpl w:val="E8A0024A"/>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80B3F68"/>
    <w:multiLevelType w:val="hybridMultilevel"/>
    <w:tmpl w:val="9460B0B4"/>
    <w:lvl w:ilvl="0" w:tplc="1C9E3814">
      <w:start w:val="2"/>
      <w:numFmt w:val="decimal"/>
      <w:lvlText w:val="(%1)"/>
      <w:lvlJc w:val="left"/>
      <w:pPr>
        <w:ind w:left="13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8566CB9"/>
    <w:multiLevelType w:val="hybridMultilevel"/>
    <w:tmpl w:val="7B1686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D615F8"/>
    <w:multiLevelType w:val="hybridMultilevel"/>
    <w:tmpl w:val="FC5AC3EC"/>
    <w:lvl w:ilvl="0" w:tplc="D3D4E864">
      <w:start w:val="2"/>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BE16753"/>
    <w:multiLevelType w:val="hybridMultilevel"/>
    <w:tmpl w:val="6C465746"/>
    <w:lvl w:ilvl="0" w:tplc="04090017">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2" w15:restartNumberingAfterBreak="0">
    <w:nsid w:val="6C6408AB"/>
    <w:multiLevelType w:val="hybridMultilevel"/>
    <w:tmpl w:val="94922D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3EC4BC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D33051E"/>
    <w:multiLevelType w:val="hybridMultilevel"/>
    <w:tmpl w:val="0750D7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D581DC2"/>
    <w:multiLevelType w:val="hybridMultilevel"/>
    <w:tmpl w:val="B97A2196"/>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5" w15:restartNumberingAfterBreak="0">
    <w:nsid w:val="6DC73A76"/>
    <w:multiLevelType w:val="hybridMultilevel"/>
    <w:tmpl w:val="F59AAA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6F206129"/>
    <w:multiLevelType w:val="hybridMultilevel"/>
    <w:tmpl w:val="DFF0A5CA"/>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7" w15:restartNumberingAfterBreak="0">
    <w:nsid w:val="6F31041F"/>
    <w:multiLevelType w:val="hybridMultilevel"/>
    <w:tmpl w:val="F820963A"/>
    <w:lvl w:ilvl="0" w:tplc="9DA41C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0523825"/>
    <w:multiLevelType w:val="hybridMultilevel"/>
    <w:tmpl w:val="350C743A"/>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9" w15:restartNumberingAfterBreak="0">
    <w:nsid w:val="70E3095C"/>
    <w:multiLevelType w:val="hybridMultilevel"/>
    <w:tmpl w:val="7750B8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11C21F8"/>
    <w:multiLevelType w:val="hybridMultilevel"/>
    <w:tmpl w:val="9B6AA790"/>
    <w:lvl w:ilvl="0" w:tplc="F9BA159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1" w15:restartNumberingAfterBreak="0">
    <w:nsid w:val="7260171A"/>
    <w:multiLevelType w:val="hybridMultilevel"/>
    <w:tmpl w:val="DE6C6698"/>
    <w:lvl w:ilvl="0" w:tplc="9D30E91E">
      <w:start w:val="2"/>
      <w:numFmt w:val="decimal"/>
      <w:lvlText w:val="(%1)"/>
      <w:lvlJc w:val="left"/>
      <w:pPr>
        <w:ind w:left="1320" w:hanging="420"/>
      </w:pPr>
      <w:rPr>
        <w:rFonts w:hint="default"/>
      </w:rPr>
    </w:lvl>
    <w:lvl w:ilvl="1" w:tplc="04090017">
      <w:start w:val="1"/>
      <w:numFmt w:val="lowerLetter"/>
      <w:lvlText w:val="%2)"/>
      <w:lvlJc w:val="left"/>
      <w:pPr>
        <w:ind w:left="106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37939A9"/>
    <w:multiLevelType w:val="hybridMultilevel"/>
    <w:tmpl w:val="7A76A2EE"/>
    <w:lvl w:ilvl="0" w:tplc="48AC7F3E">
      <w:start w:val="2"/>
      <w:numFmt w:val="decimal"/>
      <w:lvlText w:val="(%1)"/>
      <w:lvlJc w:val="left"/>
      <w:pPr>
        <w:ind w:left="1128"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446056D"/>
    <w:multiLevelType w:val="hybridMultilevel"/>
    <w:tmpl w:val="AE7E9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4535892"/>
    <w:multiLevelType w:val="hybridMultilevel"/>
    <w:tmpl w:val="35960B06"/>
    <w:lvl w:ilvl="0" w:tplc="96826284">
      <w:start w:val="2"/>
      <w:numFmt w:val="decimal"/>
      <w:lvlText w:val="(%1)"/>
      <w:lvlJc w:val="left"/>
      <w:pPr>
        <w:ind w:left="420" w:hanging="42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65" w15:restartNumberingAfterBreak="0">
    <w:nsid w:val="75B32E0E"/>
    <w:multiLevelType w:val="hybridMultilevel"/>
    <w:tmpl w:val="73F2B060"/>
    <w:lvl w:ilvl="0" w:tplc="0409001B">
      <w:start w:val="1"/>
      <w:numFmt w:val="lowerRoman"/>
      <w:lvlText w:val="%1."/>
      <w:lvlJc w:val="right"/>
      <w:pPr>
        <w:ind w:left="142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2254B2"/>
    <w:multiLevelType w:val="hybridMultilevel"/>
    <w:tmpl w:val="E0A4892E"/>
    <w:lvl w:ilvl="0" w:tplc="0409001B">
      <w:start w:val="1"/>
      <w:numFmt w:val="lowerRoman"/>
      <w:lvlText w:val="%1."/>
      <w:lvlJc w:val="righ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665552E"/>
    <w:multiLevelType w:val="hybridMultilevel"/>
    <w:tmpl w:val="9AE60F48"/>
    <w:lvl w:ilvl="0" w:tplc="3B4C59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6777CBE"/>
    <w:multiLevelType w:val="hybridMultilevel"/>
    <w:tmpl w:val="D4B476D4"/>
    <w:lvl w:ilvl="0" w:tplc="04090017">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9" w15:restartNumberingAfterBreak="0">
    <w:nsid w:val="76C5249F"/>
    <w:multiLevelType w:val="hybridMultilevel"/>
    <w:tmpl w:val="DCB48D46"/>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0" w15:restartNumberingAfterBreak="0">
    <w:nsid w:val="76FF6ED9"/>
    <w:multiLevelType w:val="hybridMultilevel"/>
    <w:tmpl w:val="7272FE62"/>
    <w:lvl w:ilvl="0" w:tplc="A6220212">
      <w:start w:val="2"/>
      <w:numFmt w:val="decimal"/>
      <w:lvlText w:val="(%1)"/>
      <w:lvlJc w:val="left"/>
      <w:pPr>
        <w:ind w:left="1128"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80F1A6C"/>
    <w:multiLevelType w:val="hybridMultilevel"/>
    <w:tmpl w:val="3AA2E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7AAA16FE"/>
    <w:multiLevelType w:val="hybridMultilevel"/>
    <w:tmpl w:val="67E09DAC"/>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3" w15:restartNumberingAfterBreak="0">
    <w:nsid w:val="7BC036DD"/>
    <w:multiLevelType w:val="multilevel"/>
    <w:tmpl w:val="2E4C6F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bullet"/>
      <w:pStyle w:val="Heading6"/>
      <w:lvlText w:val="o"/>
      <w:lvlJc w:val="left"/>
      <w:pPr>
        <w:ind w:left="1152" w:hanging="1152"/>
      </w:pPr>
      <w:rPr>
        <w:rFonts w:ascii="Courier New" w:hAnsi="Courier New" w:cs="Courier New"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4" w15:restartNumberingAfterBreak="0">
    <w:nsid w:val="7BD61EE1"/>
    <w:multiLevelType w:val="hybridMultilevel"/>
    <w:tmpl w:val="2FE6E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BD734A7"/>
    <w:multiLevelType w:val="hybridMultilevel"/>
    <w:tmpl w:val="D160E3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7BF41965"/>
    <w:multiLevelType w:val="hybridMultilevel"/>
    <w:tmpl w:val="F594B24A"/>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7" w15:restartNumberingAfterBreak="0">
    <w:nsid w:val="7D027A5E"/>
    <w:multiLevelType w:val="hybridMultilevel"/>
    <w:tmpl w:val="B0449BEC"/>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8" w15:restartNumberingAfterBreak="0">
    <w:nsid w:val="7D032313"/>
    <w:multiLevelType w:val="hybridMultilevel"/>
    <w:tmpl w:val="8DEE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D8D4EFD"/>
    <w:multiLevelType w:val="hybridMultilevel"/>
    <w:tmpl w:val="ECCC0266"/>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0" w15:restartNumberingAfterBreak="0">
    <w:nsid w:val="7DC010C4"/>
    <w:multiLevelType w:val="hybridMultilevel"/>
    <w:tmpl w:val="E0E671C8"/>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1" w15:restartNumberingAfterBreak="0">
    <w:nsid w:val="7DF21364"/>
    <w:multiLevelType w:val="hybridMultilevel"/>
    <w:tmpl w:val="50EA720C"/>
    <w:lvl w:ilvl="0" w:tplc="0409001B">
      <w:start w:val="1"/>
      <w:numFmt w:val="lowerRoman"/>
      <w:lvlText w:val="%1."/>
      <w:lvlJc w:val="righ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2" w15:restartNumberingAfterBreak="0">
    <w:nsid w:val="7E635FF8"/>
    <w:multiLevelType w:val="hybridMultilevel"/>
    <w:tmpl w:val="9026A344"/>
    <w:lvl w:ilvl="0" w:tplc="936C2340">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E764D01"/>
    <w:multiLevelType w:val="hybridMultilevel"/>
    <w:tmpl w:val="AA52A53C"/>
    <w:lvl w:ilvl="0" w:tplc="D2F0E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E8B6586"/>
    <w:multiLevelType w:val="hybridMultilevel"/>
    <w:tmpl w:val="8FA8AE26"/>
    <w:lvl w:ilvl="0" w:tplc="F6548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2A44B1"/>
    <w:multiLevelType w:val="hybridMultilevel"/>
    <w:tmpl w:val="6CF2F37C"/>
    <w:lvl w:ilvl="0" w:tplc="FFFFFFFF">
      <w:start w:val="1"/>
      <w:numFmt w:val="decimal"/>
      <w:lvlText w:val="%1."/>
      <w:lvlJc w:val="left"/>
      <w:pPr>
        <w:ind w:left="360" w:hanging="360"/>
      </w:pPr>
      <w:rPr>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53439155">
    <w:abstractNumId w:val="48"/>
  </w:num>
  <w:num w:numId="2" w16cid:durableId="790437033">
    <w:abstractNumId w:val="104"/>
  </w:num>
  <w:num w:numId="3" w16cid:durableId="688140480">
    <w:abstractNumId w:val="62"/>
  </w:num>
  <w:num w:numId="4" w16cid:durableId="2085685313">
    <w:abstractNumId w:val="165"/>
  </w:num>
  <w:num w:numId="5" w16cid:durableId="212085818">
    <w:abstractNumId w:val="110"/>
  </w:num>
  <w:num w:numId="6" w16cid:durableId="1162624261">
    <w:abstractNumId w:val="86"/>
  </w:num>
  <w:num w:numId="7" w16cid:durableId="1032805376">
    <w:abstractNumId w:val="50"/>
  </w:num>
  <w:num w:numId="8" w16cid:durableId="125126146">
    <w:abstractNumId w:val="7"/>
  </w:num>
  <w:num w:numId="9" w16cid:durableId="1284264802">
    <w:abstractNumId w:val="40"/>
  </w:num>
  <w:num w:numId="10" w16cid:durableId="1760566543">
    <w:abstractNumId w:val="57"/>
  </w:num>
  <w:num w:numId="11" w16cid:durableId="120343181">
    <w:abstractNumId w:val="137"/>
  </w:num>
  <w:num w:numId="12" w16cid:durableId="1161969350">
    <w:abstractNumId w:val="45"/>
  </w:num>
  <w:num w:numId="13" w16cid:durableId="582572705">
    <w:abstractNumId w:val="93"/>
  </w:num>
  <w:num w:numId="14" w16cid:durableId="574366090">
    <w:abstractNumId w:val="123"/>
  </w:num>
  <w:num w:numId="15" w16cid:durableId="2141023702">
    <w:abstractNumId w:val="8"/>
  </w:num>
  <w:num w:numId="16" w16cid:durableId="1668511071">
    <w:abstractNumId w:val="70"/>
  </w:num>
  <w:num w:numId="17" w16cid:durableId="19018910">
    <w:abstractNumId w:val="133"/>
  </w:num>
  <w:num w:numId="18" w16cid:durableId="1537083481">
    <w:abstractNumId w:val="30"/>
  </w:num>
  <w:num w:numId="19" w16cid:durableId="1845513889">
    <w:abstractNumId w:val="103"/>
  </w:num>
  <w:num w:numId="20" w16cid:durableId="1800683371">
    <w:abstractNumId w:val="179"/>
  </w:num>
  <w:num w:numId="21" w16cid:durableId="1328246831">
    <w:abstractNumId w:val="0"/>
  </w:num>
  <w:num w:numId="22" w16cid:durableId="425417929">
    <w:abstractNumId w:val="18"/>
  </w:num>
  <w:num w:numId="23" w16cid:durableId="1384866364">
    <w:abstractNumId w:val="115"/>
  </w:num>
  <w:num w:numId="24" w16cid:durableId="219709110">
    <w:abstractNumId w:val="151"/>
  </w:num>
  <w:num w:numId="25" w16cid:durableId="588080784">
    <w:abstractNumId w:val="101"/>
  </w:num>
  <w:num w:numId="26" w16cid:durableId="1317340167">
    <w:abstractNumId w:val="36"/>
  </w:num>
  <w:num w:numId="27" w16cid:durableId="549803538">
    <w:abstractNumId w:val="28"/>
  </w:num>
  <w:num w:numId="28" w16cid:durableId="2087260595">
    <w:abstractNumId w:val="177"/>
  </w:num>
  <w:num w:numId="29" w16cid:durableId="573205973">
    <w:abstractNumId w:val="5"/>
  </w:num>
  <w:num w:numId="30" w16cid:durableId="203491473">
    <w:abstractNumId w:val="38"/>
  </w:num>
  <w:num w:numId="31" w16cid:durableId="1877503200">
    <w:abstractNumId w:val="75"/>
  </w:num>
  <w:num w:numId="32" w16cid:durableId="593322136">
    <w:abstractNumId w:val="169"/>
  </w:num>
  <w:num w:numId="33" w16cid:durableId="396126810">
    <w:abstractNumId w:val="113"/>
  </w:num>
  <w:num w:numId="34" w16cid:durableId="185948658">
    <w:abstractNumId w:val="21"/>
  </w:num>
  <w:num w:numId="35" w16cid:durableId="956135125">
    <w:abstractNumId w:val="20"/>
  </w:num>
  <w:num w:numId="36" w16cid:durableId="548807740">
    <w:abstractNumId w:val="77"/>
  </w:num>
  <w:num w:numId="37" w16cid:durableId="208227433">
    <w:abstractNumId w:val="19"/>
  </w:num>
  <w:num w:numId="38" w16cid:durableId="1984700897">
    <w:abstractNumId w:val="64"/>
  </w:num>
  <w:num w:numId="39" w16cid:durableId="1397360981">
    <w:abstractNumId w:val="168"/>
  </w:num>
  <w:num w:numId="40" w16cid:durableId="1014652205">
    <w:abstractNumId w:val="156"/>
  </w:num>
  <w:num w:numId="41" w16cid:durableId="410278323">
    <w:abstractNumId w:val="158"/>
  </w:num>
  <w:num w:numId="42" w16cid:durableId="1446189118">
    <w:abstractNumId w:val="10"/>
  </w:num>
  <w:num w:numId="43" w16cid:durableId="1857691907">
    <w:abstractNumId w:val="47"/>
  </w:num>
  <w:num w:numId="44" w16cid:durableId="3436758">
    <w:abstractNumId w:val="27"/>
  </w:num>
  <w:num w:numId="45" w16cid:durableId="449513290">
    <w:abstractNumId w:val="58"/>
  </w:num>
  <w:num w:numId="46" w16cid:durableId="1532107435">
    <w:abstractNumId w:val="11"/>
  </w:num>
  <w:num w:numId="47" w16cid:durableId="957419349">
    <w:abstractNumId w:val="172"/>
  </w:num>
  <w:num w:numId="48" w16cid:durableId="181014074">
    <w:abstractNumId w:val="180"/>
  </w:num>
  <w:num w:numId="49" w16cid:durableId="331034545">
    <w:abstractNumId w:val="125"/>
  </w:num>
  <w:num w:numId="50" w16cid:durableId="451674865">
    <w:abstractNumId w:val="176"/>
  </w:num>
  <w:num w:numId="51" w16cid:durableId="1039012124">
    <w:abstractNumId w:val="91"/>
  </w:num>
  <w:num w:numId="52" w16cid:durableId="142547400">
    <w:abstractNumId w:val="67"/>
  </w:num>
  <w:num w:numId="53" w16cid:durableId="613564456">
    <w:abstractNumId w:val="100"/>
  </w:num>
  <w:num w:numId="54" w16cid:durableId="913197201">
    <w:abstractNumId w:val="119"/>
  </w:num>
  <w:num w:numId="55" w16cid:durableId="1717927414">
    <w:abstractNumId w:val="173"/>
  </w:num>
  <w:num w:numId="56" w16cid:durableId="1889026756">
    <w:abstractNumId w:val="29"/>
  </w:num>
  <w:num w:numId="57" w16cid:durableId="1419012666">
    <w:abstractNumId w:val="71"/>
  </w:num>
  <w:num w:numId="58" w16cid:durableId="312761139">
    <w:abstractNumId w:val="31"/>
  </w:num>
  <w:num w:numId="59" w16cid:durableId="1857621100">
    <w:abstractNumId w:val="147"/>
  </w:num>
  <w:num w:numId="60" w16cid:durableId="1335109137">
    <w:abstractNumId w:val="55"/>
  </w:num>
  <w:num w:numId="61" w16cid:durableId="2004117305">
    <w:abstractNumId w:val="12"/>
  </w:num>
  <w:num w:numId="62" w16cid:durableId="406730723">
    <w:abstractNumId w:val="144"/>
  </w:num>
  <w:num w:numId="63" w16cid:durableId="195437417">
    <w:abstractNumId w:val="175"/>
  </w:num>
  <w:num w:numId="64" w16cid:durableId="745565469">
    <w:abstractNumId w:val="154"/>
  </w:num>
  <w:num w:numId="65" w16cid:durableId="1930501882">
    <w:abstractNumId w:val="83"/>
  </w:num>
  <w:num w:numId="66" w16cid:durableId="1748115935">
    <w:abstractNumId w:val="150"/>
  </w:num>
  <w:num w:numId="67" w16cid:durableId="218395741">
    <w:abstractNumId w:val="132"/>
  </w:num>
  <w:num w:numId="68" w16cid:durableId="317926111">
    <w:abstractNumId w:val="145"/>
  </w:num>
  <w:num w:numId="69" w16cid:durableId="71053990">
    <w:abstractNumId w:val="162"/>
  </w:num>
  <w:num w:numId="70" w16cid:durableId="1675840350">
    <w:abstractNumId w:val="82"/>
  </w:num>
  <w:num w:numId="71" w16cid:durableId="742678848">
    <w:abstractNumId w:val="34"/>
  </w:num>
  <w:num w:numId="72" w16cid:durableId="278100535">
    <w:abstractNumId w:val="90"/>
  </w:num>
  <w:num w:numId="73" w16cid:durableId="960768838">
    <w:abstractNumId w:val="6"/>
  </w:num>
  <w:num w:numId="74" w16cid:durableId="516427150">
    <w:abstractNumId w:val="170"/>
  </w:num>
  <w:num w:numId="75" w16cid:durableId="288171495">
    <w:abstractNumId w:val="148"/>
  </w:num>
  <w:num w:numId="76" w16cid:durableId="1929609132">
    <w:abstractNumId w:val="3"/>
  </w:num>
  <w:num w:numId="77" w16cid:durableId="1303802279">
    <w:abstractNumId w:val="54"/>
  </w:num>
  <w:num w:numId="78" w16cid:durableId="672756266">
    <w:abstractNumId w:val="161"/>
  </w:num>
  <w:num w:numId="79" w16cid:durableId="382679246">
    <w:abstractNumId w:val="41"/>
  </w:num>
  <w:num w:numId="80" w16cid:durableId="1543051561">
    <w:abstractNumId w:val="37"/>
  </w:num>
  <w:num w:numId="81" w16cid:durableId="49041699">
    <w:abstractNumId w:val="164"/>
  </w:num>
  <w:num w:numId="82" w16cid:durableId="999039838">
    <w:abstractNumId w:val="135"/>
  </w:num>
  <w:num w:numId="83" w16cid:durableId="1353070531">
    <w:abstractNumId w:val="139"/>
  </w:num>
  <w:num w:numId="84" w16cid:durableId="208228457">
    <w:abstractNumId w:val="66"/>
  </w:num>
  <w:num w:numId="85" w16cid:durableId="1776436807">
    <w:abstractNumId w:val="81"/>
  </w:num>
  <w:num w:numId="86" w16cid:durableId="1834297528">
    <w:abstractNumId w:val="2"/>
  </w:num>
  <w:num w:numId="87" w16cid:durableId="1309358107">
    <w:abstractNumId w:val="107"/>
  </w:num>
  <w:num w:numId="88" w16cid:durableId="2084791999">
    <w:abstractNumId w:val="121"/>
  </w:num>
  <w:num w:numId="89" w16cid:durableId="1137646018">
    <w:abstractNumId w:val="53"/>
  </w:num>
  <w:num w:numId="90" w16cid:durableId="970133386">
    <w:abstractNumId w:val="149"/>
  </w:num>
  <w:num w:numId="91" w16cid:durableId="224342007">
    <w:abstractNumId w:val="72"/>
  </w:num>
  <w:num w:numId="92" w16cid:durableId="955064669">
    <w:abstractNumId w:val="73"/>
  </w:num>
  <w:num w:numId="93" w16cid:durableId="1892885878">
    <w:abstractNumId w:val="112"/>
  </w:num>
  <w:num w:numId="94" w16cid:durableId="1855879210">
    <w:abstractNumId w:val="76"/>
  </w:num>
  <w:num w:numId="95" w16cid:durableId="1249071315">
    <w:abstractNumId w:val="108"/>
  </w:num>
  <w:num w:numId="96" w16cid:durableId="922880585">
    <w:abstractNumId w:val="181"/>
  </w:num>
  <w:num w:numId="97" w16cid:durableId="448475334">
    <w:abstractNumId w:val="111"/>
  </w:num>
  <w:num w:numId="98" w16cid:durableId="463042897">
    <w:abstractNumId w:val="166"/>
  </w:num>
  <w:num w:numId="99" w16cid:durableId="1525291388">
    <w:abstractNumId w:val="171"/>
  </w:num>
  <w:num w:numId="100" w16cid:durableId="2128545436">
    <w:abstractNumId w:val="143"/>
  </w:num>
  <w:num w:numId="101" w16cid:durableId="1656495607">
    <w:abstractNumId w:val="157"/>
  </w:num>
  <w:num w:numId="102" w16cid:durableId="246307383">
    <w:abstractNumId w:val="89"/>
  </w:num>
  <w:num w:numId="103" w16cid:durableId="114761551">
    <w:abstractNumId w:val="1"/>
  </w:num>
  <w:num w:numId="104" w16cid:durableId="346903141">
    <w:abstractNumId w:val="32"/>
  </w:num>
  <w:num w:numId="105" w16cid:durableId="1924222731">
    <w:abstractNumId w:val="33"/>
  </w:num>
  <w:num w:numId="106" w16cid:durableId="1586450062">
    <w:abstractNumId w:val="134"/>
  </w:num>
  <w:num w:numId="107" w16cid:durableId="2048214220">
    <w:abstractNumId w:val="114"/>
  </w:num>
  <w:num w:numId="108" w16cid:durableId="695619901">
    <w:abstractNumId w:val="74"/>
  </w:num>
  <w:num w:numId="109" w16cid:durableId="1950241418">
    <w:abstractNumId w:val="183"/>
  </w:num>
  <w:num w:numId="110" w16cid:durableId="1894854243">
    <w:abstractNumId w:val="15"/>
  </w:num>
  <w:num w:numId="111" w16cid:durableId="1938053041">
    <w:abstractNumId w:val="130"/>
  </w:num>
  <w:num w:numId="112" w16cid:durableId="1839223962">
    <w:abstractNumId w:val="9"/>
  </w:num>
  <w:num w:numId="113" w16cid:durableId="1182353829">
    <w:abstractNumId w:val="39"/>
  </w:num>
  <w:num w:numId="114" w16cid:durableId="2093117469">
    <w:abstractNumId w:val="185"/>
  </w:num>
  <w:num w:numId="115" w16cid:durableId="989409176">
    <w:abstractNumId w:val="14"/>
  </w:num>
  <w:num w:numId="116" w16cid:durableId="2026900136">
    <w:abstractNumId w:val="118"/>
  </w:num>
  <w:num w:numId="117" w16cid:durableId="408356529">
    <w:abstractNumId w:val="142"/>
  </w:num>
  <w:num w:numId="118" w16cid:durableId="1929851610">
    <w:abstractNumId w:val="52"/>
  </w:num>
  <w:num w:numId="119" w16cid:durableId="545917940">
    <w:abstractNumId w:val="182"/>
  </w:num>
  <w:num w:numId="120" w16cid:durableId="729772995">
    <w:abstractNumId w:val="97"/>
  </w:num>
  <w:num w:numId="121" w16cid:durableId="1472209946">
    <w:abstractNumId w:val="87"/>
  </w:num>
  <w:num w:numId="122" w16cid:durableId="1030689193">
    <w:abstractNumId w:val="69"/>
  </w:num>
  <w:num w:numId="123" w16cid:durableId="794524817">
    <w:abstractNumId w:val="69"/>
  </w:num>
  <w:num w:numId="124" w16cid:durableId="2143887110">
    <w:abstractNumId w:val="69"/>
  </w:num>
  <w:num w:numId="125" w16cid:durableId="427118518">
    <w:abstractNumId w:val="69"/>
  </w:num>
  <w:num w:numId="126" w16cid:durableId="1387298529">
    <w:abstractNumId w:val="131"/>
  </w:num>
  <w:num w:numId="127" w16cid:durableId="1380011517">
    <w:abstractNumId w:val="61"/>
  </w:num>
  <w:num w:numId="128" w16cid:durableId="802231898">
    <w:abstractNumId w:val="69"/>
  </w:num>
  <w:num w:numId="129" w16cid:durableId="2108575235">
    <w:abstractNumId w:val="69"/>
  </w:num>
  <w:num w:numId="130" w16cid:durableId="1311904504">
    <w:abstractNumId w:val="69"/>
  </w:num>
  <w:num w:numId="131" w16cid:durableId="2147307229">
    <w:abstractNumId w:val="51"/>
  </w:num>
  <w:num w:numId="132" w16cid:durableId="704670437">
    <w:abstractNumId w:val="69"/>
  </w:num>
  <w:num w:numId="133" w16cid:durableId="631789715">
    <w:abstractNumId w:val="88"/>
  </w:num>
  <w:num w:numId="134" w16cid:durableId="1370565952">
    <w:abstractNumId w:val="35"/>
  </w:num>
  <w:num w:numId="135" w16cid:durableId="797265228">
    <w:abstractNumId w:val="60"/>
  </w:num>
  <w:num w:numId="136" w16cid:durableId="988096770">
    <w:abstractNumId w:val="69"/>
  </w:num>
  <w:num w:numId="137" w16cid:durableId="1103845863">
    <w:abstractNumId w:val="84"/>
  </w:num>
  <w:num w:numId="138" w16cid:durableId="2029520929">
    <w:abstractNumId w:val="25"/>
  </w:num>
  <w:num w:numId="139" w16cid:durableId="1499273161">
    <w:abstractNumId w:val="69"/>
  </w:num>
  <w:num w:numId="140" w16cid:durableId="484853729">
    <w:abstractNumId w:val="95"/>
  </w:num>
  <w:num w:numId="141" w16cid:durableId="1263805520">
    <w:abstractNumId w:val="4"/>
  </w:num>
  <w:num w:numId="142" w16cid:durableId="475877984">
    <w:abstractNumId w:val="69"/>
  </w:num>
  <w:num w:numId="143" w16cid:durableId="1007558946">
    <w:abstractNumId w:val="128"/>
  </w:num>
  <w:num w:numId="144" w16cid:durableId="188416419">
    <w:abstractNumId w:val="160"/>
  </w:num>
  <w:num w:numId="145" w16cid:durableId="2015720230">
    <w:abstractNumId w:val="109"/>
  </w:num>
  <w:num w:numId="146" w16cid:durableId="1305771665">
    <w:abstractNumId w:val="102"/>
  </w:num>
  <w:num w:numId="147" w16cid:durableId="1607037241">
    <w:abstractNumId w:val="163"/>
  </w:num>
  <w:num w:numId="148" w16cid:durableId="330832601">
    <w:abstractNumId w:val="124"/>
  </w:num>
  <w:num w:numId="149" w16cid:durableId="521631821">
    <w:abstractNumId w:val="136"/>
  </w:num>
  <w:num w:numId="150" w16cid:durableId="283118887">
    <w:abstractNumId w:val="94"/>
  </w:num>
  <w:num w:numId="151" w16cid:durableId="623848476">
    <w:abstractNumId w:val="129"/>
  </w:num>
  <w:num w:numId="152" w16cid:durableId="955406574">
    <w:abstractNumId w:val="116"/>
  </w:num>
  <w:num w:numId="153" w16cid:durableId="1458986467">
    <w:abstractNumId w:val="44"/>
  </w:num>
  <w:num w:numId="154" w16cid:durableId="750468121">
    <w:abstractNumId w:val="105"/>
  </w:num>
  <w:num w:numId="155" w16cid:durableId="981228364">
    <w:abstractNumId w:val="79"/>
  </w:num>
  <w:num w:numId="156" w16cid:durableId="1379091775">
    <w:abstractNumId w:val="13"/>
  </w:num>
  <w:num w:numId="157" w16cid:durableId="121924210">
    <w:abstractNumId w:val="152"/>
  </w:num>
  <w:num w:numId="158" w16cid:durableId="317224456">
    <w:abstractNumId w:val="146"/>
  </w:num>
  <w:num w:numId="159" w16cid:durableId="59793958">
    <w:abstractNumId w:val="26"/>
  </w:num>
  <w:num w:numId="160" w16cid:durableId="201329495">
    <w:abstractNumId w:val="63"/>
  </w:num>
  <w:num w:numId="161" w16cid:durableId="2126151599">
    <w:abstractNumId w:val="43"/>
  </w:num>
  <w:num w:numId="162" w16cid:durableId="1550798394">
    <w:abstractNumId w:val="92"/>
  </w:num>
  <w:num w:numId="163" w16cid:durableId="886259047">
    <w:abstractNumId w:val="120"/>
  </w:num>
  <w:num w:numId="164" w16cid:durableId="1566142343">
    <w:abstractNumId w:val="85"/>
  </w:num>
  <w:num w:numId="165" w16cid:durableId="705330337">
    <w:abstractNumId w:val="23"/>
  </w:num>
  <w:num w:numId="166" w16cid:durableId="113789082">
    <w:abstractNumId w:val="24"/>
  </w:num>
  <w:num w:numId="167" w16cid:durableId="444348543">
    <w:abstractNumId w:val="68"/>
  </w:num>
  <w:num w:numId="168" w16cid:durableId="283387054">
    <w:abstractNumId w:val="155"/>
  </w:num>
  <w:num w:numId="169" w16cid:durableId="1356615045">
    <w:abstractNumId w:val="42"/>
  </w:num>
  <w:num w:numId="170" w16cid:durableId="944537248">
    <w:abstractNumId w:val="16"/>
  </w:num>
  <w:num w:numId="171" w16cid:durableId="1661301765">
    <w:abstractNumId w:val="78"/>
  </w:num>
  <w:num w:numId="172" w16cid:durableId="188616229">
    <w:abstractNumId w:val="99"/>
  </w:num>
  <w:num w:numId="173" w16cid:durableId="1013799749">
    <w:abstractNumId w:val="127"/>
  </w:num>
  <w:num w:numId="174" w16cid:durableId="1635215065">
    <w:abstractNumId w:val="22"/>
  </w:num>
  <w:num w:numId="175" w16cid:durableId="979841281">
    <w:abstractNumId w:val="126"/>
  </w:num>
  <w:num w:numId="176" w16cid:durableId="820459928">
    <w:abstractNumId w:val="65"/>
  </w:num>
  <w:num w:numId="177" w16cid:durableId="289633516">
    <w:abstractNumId w:val="106"/>
  </w:num>
  <w:num w:numId="178" w16cid:durableId="1708293792">
    <w:abstractNumId w:val="49"/>
  </w:num>
  <w:num w:numId="179" w16cid:durableId="725646379">
    <w:abstractNumId w:val="140"/>
  </w:num>
  <w:num w:numId="180" w16cid:durableId="250892132">
    <w:abstractNumId w:val="184"/>
  </w:num>
  <w:num w:numId="181" w16cid:durableId="1628732211">
    <w:abstractNumId w:val="56"/>
  </w:num>
  <w:num w:numId="182" w16cid:durableId="2008049612">
    <w:abstractNumId w:val="122"/>
  </w:num>
  <w:num w:numId="183" w16cid:durableId="564219987">
    <w:abstractNumId w:val="80"/>
  </w:num>
  <w:num w:numId="184" w16cid:durableId="148791010">
    <w:abstractNumId w:val="98"/>
  </w:num>
  <w:num w:numId="185" w16cid:durableId="2110587506">
    <w:abstractNumId w:val="159"/>
  </w:num>
  <w:num w:numId="186" w16cid:durableId="648872922">
    <w:abstractNumId w:val="153"/>
  </w:num>
  <w:num w:numId="187" w16cid:durableId="796529407">
    <w:abstractNumId w:val="141"/>
  </w:num>
  <w:num w:numId="188" w16cid:durableId="1302078241">
    <w:abstractNumId w:val="138"/>
  </w:num>
  <w:num w:numId="189" w16cid:durableId="1427266063">
    <w:abstractNumId w:val="117"/>
  </w:num>
  <w:num w:numId="190" w16cid:durableId="794909549">
    <w:abstractNumId w:val="46"/>
  </w:num>
  <w:num w:numId="191" w16cid:durableId="192307473">
    <w:abstractNumId w:val="167"/>
  </w:num>
  <w:num w:numId="192" w16cid:durableId="1884780339">
    <w:abstractNumId w:val="96"/>
  </w:num>
  <w:num w:numId="193" w16cid:durableId="115873732">
    <w:abstractNumId w:val="174"/>
  </w:num>
  <w:num w:numId="194" w16cid:durableId="243145778">
    <w:abstractNumId w:val="178"/>
  </w:num>
  <w:num w:numId="195" w16cid:durableId="905139948">
    <w:abstractNumId w:val="17"/>
  </w:num>
  <w:num w:numId="196" w16cid:durableId="1804150564">
    <w:abstractNumId w:val="5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A2"/>
    <w:rsid w:val="000012F4"/>
    <w:rsid w:val="00001DE3"/>
    <w:rsid w:val="00002554"/>
    <w:rsid w:val="00002A00"/>
    <w:rsid w:val="000043F2"/>
    <w:rsid w:val="00004AAC"/>
    <w:rsid w:val="00004DB2"/>
    <w:rsid w:val="000051B0"/>
    <w:rsid w:val="00006C38"/>
    <w:rsid w:val="000075B1"/>
    <w:rsid w:val="00010714"/>
    <w:rsid w:val="00010A48"/>
    <w:rsid w:val="00011A5C"/>
    <w:rsid w:val="000121DD"/>
    <w:rsid w:val="0001224D"/>
    <w:rsid w:val="00013DD4"/>
    <w:rsid w:val="00014C90"/>
    <w:rsid w:val="00014E4A"/>
    <w:rsid w:val="00015CE8"/>
    <w:rsid w:val="000169C0"/>
    <w:rsid w:val="00017852"/>
    <w:rsid w:val="0002169B"/>
    <w:rsid w:val="00022C94"/>
    <w:rsid w:val="0002387B"/>
    <w:rsid w:val="00025D29"/>
    <w:rsid w:val="00027958"/>
    <w:rsid w:val="00027D3E"/>
    <w:rsid w:val="00030BD5"/>
    <w:rsid w:val="00030D72"/>
    <w:rsid w:val="00030DF3"/>
    <w:rsid w:val="00032CB3"/>
    <w:rsid w:val="000339AB"/>
    <w:rsid w:val="00037D48"/>
    <w:rsid w:val="00040219"/>
    <w:rsid w:val="00040488"/>
    <w:rsid w:val="000404D7"/>
    <w:rsid w:val="00040EE0"/>
    <w:rsid w:val="00043E61"/>
    <w:rsid w:val="00045A42"/>
    <w:rsid w:val="000479D5"/>
    <w:rsid w:val="000500CF"/>
    <w:rsid w:val="0005060F"/>
    <w:rsid w:val="00050C4D"/>
    <w:rsid w:val="00050FB4"/>
    <w:rsid w:val="00051FEC"/>
    <w:rsid w:val="0005276C"/>
    <w:rsid w:val="0005312A"/>
    <w:rsid w:val="00053765"/>
    <w:rsid w:val="00054768"/>
    <w:rsid w:val="0005588F"/>
    <w:rsid w:val="00057A86"/>
    <w:rsid w:val="00057FC9"/>
    <w:rsid w:val="00060B36"/>
    <w:rsid w:val="000616E9"/>
    <w:rsid w:val="00061F42"/>
    <w:rsid w:val="0006395D"/>
    <w:rsid w:val="00066110"/>
    <w:rsid w:val="000673A8"/>
    <w:rsid w:val="00067845"/>
    <w:rsid w:val="00070012"/>
    <w:rsid w:val="000709B2"/>
    <w:rsid w:val="00072552"/>
    <w:rsid w:val="0007263D"/>
    <w:rsid w:val="000732A6"/>
    <w:rsid w:val="00073751"/>
    <w:rsid w:val="000749E0"/>
    <w:rsid w:val="000753AB"/>
    <w:rsid w:val="00075DD1"/>
    <w:rsid w:val="0008002C"/>
    <w:rsid w:val="00082636"/>
    <w:rsid w:val="00083D86"/>
    <w:rsid w:val="00085250"/>
    <w:rsid w:val="0008740F"/>
    <w:rsid w:val="00087717"/>
    <w:rsid w:val="000906D2"/>
    <w:rsid w:val="00090DCA"/>
    <w:rsid w:val="00090E09"/>
    <w:rsid w:val="0009288C"/>
    <w:rsid w:val="000939EB"/>
    <w:rsid w:val="00093D24"/>
    <w:rsid w:val="00094201"/>
    <w:rsid w:val="00094F22"/>
    <w:rsid w:val="0009730F"/>
    <w:rsid w:val="00097640"/>
    <w:rsid w:val="000A0CEF"/>
    <w:rsid w:val="000A3DC8"/>
    <w:rsid w:val="000A4181"/>
    <w:rsid w:val="000A505D"/>
    <w:rsid w:val="000A5305"/>
    <w:rsid w:val="000A6F38"/>
    <w:rsid w:val="000A7867"/>
    <w:rsid w:val="000B13B7"/>
    <w:rsid w:val="000B19F9"/>
    <w:rsid w:val="000B26AA"/>
    <w:rsid w:val="000B2CBD"/>
    <w:rsid w:val="000B3147"/>
    <w:rsid w:val="000B34BD"/>
    <w:rsid w:val="000B355B"/>
    <w:rsid w:val="000B3E0B"/>
    <w:rsid w:val="000B49C8"/>
    <w:rsid w:val="000B4F10"/>
    <w:rsid w:val="000B5215"/>
    <w:rsid w:val="000B7942"/>
    <w:rsid w:val="000B79AA"/>
    <w:rsid w:val="000C097D"/>
    <w:rsid w:val="000C2C4B"/>
    <w:rsid w:val="000C3A71"/>
    <w:rsid w:val="000C40F6"/>
    <w:rsid w:val="000C50E4"/>
    <w:rsid w:val="000C5355"/>
    <w:rsid w:val="000C69A3"/>
    <w:rsid w:val="000C6E9A"/>
    <w:rsid w:val="000D1E8E"/>
    <w:rsid w:val="000D3E3E"/>
    <w:rsid w:val="000D4379"/>
    <w:rsid w:val="000D4806"/>
    <w:rsid w:val="000D4FCF"/>
    <w:rsid w:val="000D66B5"/>
    <w:rsid w:val="000D681A"/>
    <w:rsid w:val="000D6F8A"/>
    <w:rsid w:val="000D71FA"/>
    <w:rsid w:val="000D7B15"/>
    <w:rsid w:val="000E1C9A"/>
    <w:rsid w:val="000E2211"/>
    <w:rsid w:val="000E2AC5"/>
    <w:rsid w:val="000E3BA0"/>
    <w:rsid w:val="000E6028"/>
    <w:rsid w:val="000F0202"/>
    <w:rsid w:val="000F0919"/>
    <w:rsid w:val="000F13E4"/>
    <w:rsid w:val="000F1927"/>
    <w:rsid w:val="000F1B88"/>
    <w:rsid w:val="000F29C3"/>
    <w:rsid w:val="000F36F5"/>
    <w:rsid w:val="000F51F5"/>
    <w:rsid w:val="000F5770"/>
    <w:rsid w:val="000F6420"/>
    <w:rsid w:val="000F6479"/>
    <w:rsid w:val="000F64B8"/>
    <w:rsid w:val="000F6BC1"/>
    <w:rsid w:val="001014B6"/>
    <w:rsid w:val="001018B7"/>
    <w:rsid w:val="0010212C"/>
    <w:rsid w:val="00103A00"/>
    <w:rsid w:val="00103E09"/>
    <w:rsid w:val="0010540C"/>
    <w:rsid w:val="00105531"/>
    <w:rsid w:val="00106B5C"/>
    <w:rsid w:val="00110473"/>
    <w:rsid w:val="00110732"/>
    <w:rsid w:val="001110B4"/>
    <w:rsid w:val="00112792"/>
    <w:rsid w:val="001130EB"/>
    <w:rsid w:val="0011379C"/>
    <w:rsid w:val="00114FBA"/>
    <w:rsid w:val="00115200"/>
    <w:rsid w:val="001164DD"/>
    <w:rsid w:val="00120C58"/>
    <w:rsid w:val="00121D63"/>
    <w:rsid w:val="0012241C"/>
    <w:rsid w:val="001226BB"/>
    <w:rsid w:val="00123EF8"/>
    <w:rsid w:val="0012554D"/>
    <w:rsid w:val="00130513"/>
    <w:rsid w:val="00130E00"/>
    <w:rsid w:val="00130F00"/>
    <w:rsid w:val="00132881"/>
    <w:rsid w:val="00134032"/>
    <w:rsid w:val="00134261"/>
    <w:rsid w:val="00134CC1"/>
    <w:rsid w:val="00134EC2"/>
    <w:rsid w:val="00135AF3"/>
    <w:rsid w:val="00135DC6"/>
    <w:rsid w:val="00135DF5"/>
    <w:rsid w:val="001361E3"/>
    <w:rsid w:val="001366B5"/>
    <w:rsid w:val="00136AF6"/>
    <w:rsid w:val="001378BB"/>
    <w:rsid w:val="0014171B"/>
    <w:rsid w:val="00141F5F"/>
    <w:rsid w:val="00142242"/>
    <w:rsid w:val="00143EAA"/>
    <w:rsid w:val="00145153"/>
    <w:rsid w:val="001467EF"/>
    <w:rsid w:val="00146890"/>
    <w:rsid w:val="00150AC4"/>
    <w:rsid w:val="00151BFA"/>
    <w:rsid w:val="00152695"/>
    <w:rsid w:val="0015308E"/>
    <w:rsid w:val="00154C27"/>
    <w:rsid w:val="00155377"/>
    <w:rsid w:val="00155965"/>
    <w:rsid w:val="00155F44"/>
    <w:rsid w:val="0016029A"/>
    <w:rsid w:val="00160713"/>
    <w:rsid w:val="00161819"/>
    <w:rsid w:val="00161C97"/>
    <w:rsid w:val="00162A52"/>
    <w:rsid w:val="001645E3"/>
    <w:rsid w:val="001667D7"/>
    <w:rsid w:val="00166A6B"/>
    <w:rsid w:val="0016790E"/>
    <w:rsid w:val="0017065C"/>
    <w:rsid w:val="00170A33"/>
    <w:rsid w:val="00171954"/>
    <w:rsid w:val="00172229"/>
    <w:rsid w:val="00172A34"/>
    <w:rsid w:val="00174DCD"/>
    <w:rsid w:val="00174E87"/>
    <w:rsid w:val="0017523B"/>
    <w:rsid w:val="00175B47"/>
    <w:rsid w:val="001767A5"/>
    <w:rsid w:val="00177D52"/>
    <w:rsid w:val="00180B1E"/>
    <w:rsid w:val="001818C2"/>
    <w:rsid w:val="001831B0"/>
    <w:rsid w:val="001843C7"/>
    <w:rsid w:val="0018535A"/>
    <w:rsid w:val="00185A3B"/>
    <w:rsid w:val="00186A36"/>
    <w:rsid w:val="00186FA2"/>
    <w:rsid w:val="0019074B"/>
    <w:rsid w:val="00191EE6"/>
    <w:rsid w:val="00192C89"/>
    <w:rsid w:val="0019393F"/>
    <w:rsid w:val="00193D53"/>
    <w:rsid w:val="0019542B"/>
    <w:rsid w:val="001963AB"/>
    <w:rsid w:val="00196715"/>
    <w:rsid w:val="00196F7F"/>
    <w:rsid w:val="001A029A"/>
    <w:rsid w:val="001A051E"/>
    <w:rsid w:val="001A1515"/>
    <w:rsid w:val="001A1EF1"/>
    <w:rsid w:val="001A1FA1"/>
    <w:rsid w:val="001A356E"/>
    <w:rsid w:val="001A4069"/>
    <w:rsid w:val="001A55A8"/>
    <w:rsid w:val="001A5746"/>
    <w:rsid w:val="001A584B"/>
    <w:rsid w:val="001A64DC"/>
    <w:rsid w:val="001A69FE"/>
    <w:rsid w:val="001A78EF"/>
    <w:rsid w:val="001B03DC"/>
    <w:rsid w:val="001B080C"/>
    <w:rsid w:val="001B091D"/>
    <w:rsid w:val="001B1F9E"/>
    <w:rsid w:val="001B275E"/>
    <w:rsid w:val="001B3419"/>
    <w:rsid w:val="001B4E27"/>
    <w:rsid w:val="001B5284"/>
    <w:rsid w:val="001B6545"/>
    <w:rsid w:val="001B6B39"/>
    <w:rsid w:val="001B6D68"/>
    <w:rsid w:val="001B6FC8"/>
    <w:rsid w:val="001C1D66"/>
    <w:rsid w:val="001C1D75"/>
    <w:rsid w:val="001C2181"/>
    <w:rsid w:val="001C24EA"/>
    <w:rsid w:val="001C3480"/>
    <w:rsid w:val="001C3A27"/>
    <w:rsid w:val="001C482A"/>
    <w:rsid w:val="001C5192"/>
    <w:rsid w:val="001C6B96"/>
    <w:rsid w:val="001C70DA"/>
    <w:rsid w:val="001C7BE1"/>
    <w:rsid w:val="001C7C0F"/>
    <w:rsid w:val="001D0E9B"/>
    <w:rsid w:val="001D23EF"/>
    <w:rsid w:val="001D34EB"/>
    <w:rsid w:val="001D4495"/>
    <w:rsid w:val="001D4AB8"/>
    <w:rsid w:val="001D5470"/>
    <w:rsid w:val="001D5E5F"/>
    <w:rsid w:val="001D5F85"/>
    <w:rsid w:val="001E02C6"/>
    <w:rsid w:val="001E1E26"/>
    <w:rsid w:val="001E2AB7"/>
    <w:rsid w:val="001E2ACD"/>
    <w:rsid w:val="001E43CE"/>
    <w:rsid w:val="001E4438"/>
    <w:rsid w:val="001E48F9"/>
    <w:rsid w:val="001E4EC7"/>
    <w:rsid w:val="001E54E0"/>
    <w:rsid w:val="001E5C7E"/>
    <w:rsid w:val="001E65FF"/>
    <w:rsid w:val="001E6C9E"/>
    <w:rsid w:val="001E7846"/>
    <w:rsid w:val="001F0DE6"/>
    <w:rsid w:val="001F16F5"/>
    <w:rsid w:val="001F1D66"/>
    <w:rsid w:val="001F3363"/>
    <w:rsid w:val="001F374B"/>
    <w:rsid w:val="001F46A3"/>
    <w:rsid w:val="001F5F57"/>
    <w:rsid w:val="001F61A0"/>
    <w:rsid w:val="001F6B47"/>
    <w:rsid w:val="001F7789"/>
    <w:rsid w:val="001F7EE9"/>
    <w:rsid w:val="00200860"/>
    <w:rsid w:val="00200C6D"/>
    <w:rsid w:val="00201078"/>
    <w:rsid w:val="0020148F"/>
    <w:rsid w:val="002031DD"/>
    <w:rsid w:val="00203276"/>
    <w:rsid w:val="00203287"/>
    <w:rsid w:val="002040A8"/>
    <w:rsid w:val="002041FD"/>
    <w:rsid w:val="002042A5"/>
    <w:rsid w:val="0020495B"/>
    <w:rsid w:val="00204A94"/>
    <w:rsid w:val="00204B5E"/>
    <w:rsid w:val="00206E47"/>
    <w:rsid w:val="002074D0"/>
    <w:rsid w:val="00207F06"/>
    <w:rsid w:val="0021076A"/>
    <w:rsid w:val="00210D23"/>
    <w:rsid w:val="00210FB6"/>
    <w:rsid w:val="00213AE8"/>
    <w:rsid w:val="00214BD3"/>
    <w:rsid w:val="002155C0"/>
    <w:rsid w:val="002161AF"/>
    <w:rsid w:val="00216B77"/>
    <w:rsid w:val="002170DC"/>
    <w:rsid w:val="00217549"/>
    <w:rsid w:val="00221504"/>
    <w:rsid w:val="0022170E"/>
    <w:rsid w:val="0022279A"/>
    <w:rsid w:val="00223026"/>
    <w:rsid w:val="0022361B"/>
    <w:rsid w:val="00223AC0"/>
    <w:rsid w:val="0022438D"/>
    <w:rsid w:val="00224C4A"/>
    <w:rsid w:val="00224FF1"/>
    <w:rsid w:val="002266A3"/>
    <w:rsid w:val="0022679B"/>
    <w:rsid w:val="00226FED"/>
    <w:rsid w:val="00227C86"/>
    <w:rsid w:val="002304F4"/>
    <w:rsid w:val="00232A6A"/>
    <w:rsid w:val="00233154"/>
    <w:rsid w:val="00234814"/>
    <w:rsid w:val="00234945"/>
    <w:rsid w:val="0023780B"/>
    <w:rsid w:val="00240E39"/>
    <w:rsid w:val="002410C2"/>
    <w:rsid w:val="00241C71"/>
    <w:rsid w:val="00241CE7"/>
    <w:rsid w:val="0024210A"/>
    <w:rsid w:val="002445C4"/>
    <w:rsid w:val="00246A5C"/>
    <w:rsid w:val="002475AD"/>
    <w:rsid w:val="00251135"/>
    <w:rsid w:val="00251A48"/>
    <w:rsid w:val="00255DEF"/>
    <w:rsid w:val="002563B0"/>
    <w:rsid w:val="00257C31"/>
    <w:rsid w:val="00257F92"/>
    <w:rsid w:val="002609A5"/>
    <w:rsid w:val="002616B5"/>
    <w:rsid w:val="00261991"/>
    <w:rsid w:val="00262D20"/>
    <w:rsid w:val="002643A5"/>
    <w:rsid w:val="002649D2"/>
    <w:rsid w:val="00264D7C"/>
    <w:rsid w:val="002656DB"/>
    <w:rsid w:val="00265D1E"/>
    <w:rsid w:val="0026691E"/>
    <w:rsid w:val="00267C29"/>
    <w:rsid w:val="002701D4"/>
    <w:rsid w:val="002702EC"/>
    <w:rsid w:val="00273176"/>
    <w:rsid w:val="00273506"/>
    <w:rsid w:val="00273691"/>
    <w:rsid w:val="00273D63"/>
    <w:rsid w:val="00275604"/>
    <w:rsid w:val="0027796A"/>
    <w:rsid w:val="002805F0"/>
    <w:rsid w:val="00280A32"/>
    <w:rsid w:val="00280E1B"/>
    <w:rsid w:val="0028135A"/>
    <w:rsid w:val="00281554"/>
    <w:rsid w:val="00282E31"/>
    <w:rsid w:val="00283003"/>
    <w:rsid w:val="0028465D"/>
    <w:rsid w:val="002857A4"/>
    <w:rsid w:val="00286292"/>
    <w:rsid w:val="00286B82"/>
    <w:rsid w:val="002870AF"/>
    <w:rsid w:val="00290305"/>
    <w:rsid w:val="00292A44"/>
    <w:rsid w:val="00293132"/>
    <w:rsid w:val="00294A21"/>
    <w:rsid w:val="00294F91"/>
    <w:rsid w:val="0029687F"/>
    <w:rsid w:val="00296C79"/>
    <w:rsid w:val="00297D9F"/>
    <w:rsid w:val="002A0418"/>
    <w:rsid w:val="002A0756"/>
    <w:rsid w:val="002A13DA"/>
    <w:rsid w:val="002A2790"/>
    <w:rsid w:val="002A2EDA"/>
    <w:rsid w:val="002A3A5B"/>
    <w:rsid w:val="002A427B"/>
    <w:rsid w:val="002A68C6"/>
    <w:rsid w:val="002A6DFD"/>
    <w:rsid w:val="002A6F78"/>
    <w:rsid w:val="002B02D6"/>
    <w:rsid w:val="002B03B9"/>
    <w:rsid w:val="002B08F9"/>
    <w:rsid w:val="002B0A3F"/>
    <w:rsid w:val="002B17B1"/>
    <w:rsid w:val="002B2CBD"/>
    <w:rsid w:val="002B45B1"/>
    <w:rsid w:val="002B504E"/>
    <w:rsid w:val="002B688C"/>
    <w:rsid w:val="002B6CA7"/>
    <w:rsid w:val="002C0AB9"/>
    <w:rsid w:val="002C29F5"/>
    <w:rsid w:val="002C2B75"/>
    <w:rsid w:val="002C3793"/>
    <w:rsid w:val="002C5426"/>
    <w:rsid w:val="002C57F3"/>
    <w:rsid w:val="002C6E66"/>
    <w:rsid w:val="002D05B3"/>
    <w:rsid w:val="002D27F6"/>
    <w:rsid w:val="002D2E39"/>
    <w:rsid w:val="002D30FD"/>
    <w:rsid w:val="002D32E3"/>
    <w:rsid w:val="002D401B"/>
    <w:rsid w:val="002D5DC3"/>
    <w:rsid w:val="002D6B78"/>
    <w:rsid w:val="002D72A8"/>
    <w:rsid w:val="002D7F1E"/>
    <w:rsid w:val="002D7FFB"/>
    <w:rsid w:val="002E0C06"/>
    <w:rsid w:val="002E2CDA"/>
    <w:rsid w:val="002E6775"/>
    <w:rsid w:val="002E79C8"/>
    <w:rsid w:val="002E7B35"/>
    <w:rsid w:val="002F0430"/>
    <w:rsid w:val="002F1782"/>
    <w:rsid w:val="002F1C18"/>
    <w:rsid w:val="002F4B55"/>
    <w:rsid w:val="002F5A8F"/>
    <w:rsid w:val="002F6F4C"/>
    <w:rsid w:val="002F7538"/>
    <w:rsid w:val="0030075F"/>
    <w:rsid w:val="00301099"/>
    <w:rsid w:val="00302100"/>
    <w:rsid w:val="00302DEB"/>
    <w:rsid w:val="0030527C"/>
    <w:rsid w:val="003078AB"/>
    <w:rsid w:val="00310147"/>
    <w:rsid w:val="00311050"/>
    <w:rsid w:val="00311CE2"/>
    <w:rsid w:val="00311F55"/>
    <w:rsid w:val="003135C5"/>
    <w:rsid w:val="00313A6A"/>
    <w:rsid w:val="00315780"/>
    <w:rsid w:val="003201C3"/>
    <w:rsid w:val="00320D9C"/>
    <w:rsid w:val="0032169E"/>
    <w:rsid w:val="00321738"/>
    <w:rsid w:val="003244E3"/>
    <w:rsid w:val="00326DB1"/>
    <w:rsid w:val="00326F38"/>
    <w:rsid w:val="00330400"/>
    <w:rsid w:val="003314E4"/>
    <w:rsid w:val="00331602"/>
    <w:rsid w:val="00331B01"/>
    <w:rsid w:val="00331CBD"/>
    <w:rsid w:val="00332853"/>
    <w:rsid w:val="00332C6A"/>
    <w:rsid w:val="00333418"/>
    <w:rsid w:val="00333A8B"/>
    <w:rsid w:val="00333FAE"/>
    <w:rsid w:val="0033485F"/>
    <w:rsid w:val="00335457"/>
    <w:rsid w:val="003360CC"/>
    <w:rsid w:val="00337950"/>
    <w:rsid w:val="003404B2"/>
    <w:rsid w:val="003420CF"/>
    <w:rsid w:val="003425A1"/>
    <w:rsid w:val="00343F62"/>
    <w:rsid w:val="003441C6"/>
    <w:rsid w:val="003442EC"/>
    <w:rsid w:val="003460F7"/>
    <w:rsid w:val="00346B34"/>
    <w:rsid w:val="003470F5"/>
    <w:rsid w:val="0035361A"/>
    <w:rsid w:val="00353E16"/>
    <w:rsid w:val="0035482B"/>
    <w:rsid w:val="00354F64"/>
    <w:rsid w:val="00355D41"/>
    <w:rsid w:val="00357587"/>
    <w:rsid w:val="00360B66"/>
    <w:rsid w:val="003624BF"/>
    <w:rsid w:val="00363249"/>
    <w:rsid w:val="00363B4D"/>
    <w:rsid w:val="00365BAB"/>
    <w:rsid w:val="00370C2E"/>
    <w:rsid w:val="00370F76"/>
    <w:rsid w:val="00371670"/>
    <w:rsid w:val="003719CD"/>
    <w:rsid w:val="00371D29"/>
    <w:rsid w:val="0037504E"/>
    <w:rsid w:val="003758E4"/>
    <w:rsid w:val="003777FB"/>
    <w:rsid w:val="0037794E"/>
    <w:rsid w:val="00377E3A"/>
    <w:rsid w:val="00382153"/>
    <w:rsid w:val="0038297A"/>
    <w:rsid w:val="003836AD"/>
    <w:rsid w:val="00385549"/>
    <w:rsid w:val="00385B1B"/>
    <w:rsid w:val="00385BFF"/>
    <w:rsid w:val="00386D17"/>
    <w:rsid w:val="00387036"/>
    <w:rsid w:val="003907C4"/>
    <w:rsid w:val="0039318E"/>
    <w:rsid w:val="00395612"/>
    <w:rsid w:val="00395A56"/>
    <w:rsid w:val="003962FC"/>
    <w:rsid w:val="0039639C"/>
    <w:rsid w:val="0039644D"/>
    <w:rsid w:val="00397D2D"/>
    <w:rsid w:val="003A1B92"/>
    <w:rsid w:val="003A1C4A"/>
    <w:rsid w:val="003A2FA7"/>
    <w:rsid w:val="003A4A39"/>
    <w:rsid w:val="003A7628"/>
    <w:rsid w:val="003A7973"/>
    <w:rsid w:val="003B0414"/>
    <w:rsid w:val="003B42AF"/>
    <w:rsid w:val="003B4E2A"/>
    <w:rsid w:val="003B6820"/>
    <w:rsid w:val="003C009B"/>
    <w:rsid w:val="003C03B6"/>
    <w:rsid w:val="003C158E"/>
    <w:rsid w:val="003C1D39"/>
    <w:rsid w:val="003C25CF"/>
    <w:rsid w:val="003C2C15"/>
    <w:rsid w:val="003C2D41"/>
    <w:rsid w:val="003C30D7"/>
    <w:rsid w:val="003C4227"/>
    <w:rsid w:val="003C586D"/>
    <w:rsid w:val="003C5C8A"/>
    <w:rsid w:val="003C6CE9"/>
    <w:rsid w:val="003D353A"/>
    <w:rsid w:val="003D68AC"/>
    <w:rsid w:val="003D79C0"/>
    <w:rsid w:val="003E1A02"/>
    <w:rsid w:val="003E1E19"/>
    <w:rsid w:val="003E2876"/>
    <w:rsid w:val="003E45F0"/>
    <w:rsid w:val="003E55C9"/>
    <w:rsid w:val="003E5F64"/>
    <w:rsid w:val="003E6A2E"/>
    <w:rsid w:val="003F01EE"/>
    <w:rsid w:val="003F12DA"/>
    <w:rsid w:val="003F19FB"/>
    <w:rsid w:val="003F309E"/>
    <w:rsid w:val="003F30E3"/>
    <w:rsid w:val="003F4A16"/>
    <w:rsid w:val="003F5EBF"/>
    <w:rsid w:val="003F609A"/>
    <w:rsid w:val="003F689A"/>
    <w:rsid w:val="003F74B6"/>
    <w:rsid w:val="003F75B0"/>
    <w:rsid w:val="003F7B2A"/>
    <w:rsid w:val="003F7DBD"/>
    <w:rsid w:val="003F7F7D"/>
    <w:rsid w:val="004000BC"/>
    <w:rsid w:val="004004B8"/>
    <w:rsid w:val="004023CB"/>
    <w:rsid w:val="00402BE1"/>
    <w:rsid w:val="00403350"/>
    <w:rsid w:val="00403D94"/>
    <w:rsid w:val="004104E7"/>
    <w:rsid w:val="004110C2"/>
    <w:rsid w:val="004130C1"/>
    <w:rsid w:val="00413530"/>
    <w:rsid w:val="00413678"/>
    <w:rsid w:val="0041685F"/>
    <w:rsid w:val="00416EAD"/>
    <w:rsid w:val="00417E99"/>
    <w:rsid w:val="0042025D"/>
    <w:rsid w:val="0042132B"/>
    <w:rsid w:val="00421A9E"/>
    <w:rsid w:val="00422317"/>
    <w:rsid w:val="00425888"/>
    <w:rsid w:val="00427043"/>
    <w:rsid w:val="004274A8"/>
    <w:rsid w:val="0043044B"/>
    <w:rsid w:val="00431D20"/>
    <w:rsid w:val="00432F1E"/>
    <w:rsid w:val="004344F8"/>
    <w:rsid w:val="00435E71"/>
    <w:rsid w:val="00436D90"/>
    <w:rsid w:val="00437161"/>
    <w:rsid w:val="00440910"/>
    <w:rsid w:val="00440B8A"/>
    <w:rsid w:val="00440BDF"/>
    <w:rsid w:val="00440E15"/>
    <w:rsid w:val="00441C1B"/>
    <w:rsid w:val="00442740"/>
    <w:rsid w:val="004435E6"/>
    <w:rsid w:val="00444626"/>
    <w:rsid w:val="00444675"/>
    <w:rsid w:val="00445B9F"/>
    <w:rsid w:val="00446AD5"/>
    <w:rsid w:val="004478F6"/>
    <w:rsid w:val="00447D3C"/>
    <w:rsid w:val="00447E02"/>
    <w:rsid w:val="00450559"/>
    <w:rsid w:val="00450A50"/>
    <w:rsid w:val="00452B90"/>
    <w:rsid w:val="00452F60"/>
    <w:rsid w:val="00453F72"/>
    <w:rsid w:val="004546A3"/>
    <w:rsid w:val="004549B3"/>
    <w:rsid w:val="004561EE"/>
    <w:rsid w:val="00460371"/>
    <w:rsid w:val="00462B05"/>
    <w:rsid w:val="00462B17"/>
    <w:rsid w:val="00463F53"/>
    <w:rsid w:val="00466932"/>
    <w:rsid w:val="00467750"/>
    <w:rsid w:val="00467DF6"/>
    <w:rsid w:val="004701EC"/>
    <w:rsid w:val="00470913"/>
    <w:rsid w:val="00471919"/>
    <w:rsid w:val="00472E30"/>
    <w:rsid w:val="00473B2F"/>
    <w:rsid w:val="00474CF2"/>
    <w:rsid w:val="00475A80"/>
    <w:rsid w:val="004776AF"/>
    <w:rsid w:val="00481FAD"/>
    <w:rsid w:val="0048308F"/>
    <w:rsid w:val="004831FB"/>
    <w:rsid w:val="00483F54"/>
    <w:rsid w:val="0048413A"/>
    <w:rsid w:val="00486295"/>
    <w:rsid w:val="004877B5"/>
    <w:rsid w:val="00487979"/>
    <w:rsid w:val="0049029F"/>
    <w:rsid w:val="004906C1"/>
    <w:rsid w:val="00490BC8"/>
    <w:rsid w:val="00492097"/>
    <w:rsid w:val="00494006"/>
    <w:rsid w:val="00494C8D"/>
    <w:rsid w:val="00494FC4"/>
    <w:rsid w:val="004A03F1"/>
    <w:rsid w:val="004A246F"/>
    <w:rsid w:val="004A369D"/>
    <w:rsid w:val="004A3939"/>
    <w:rsid w:val="004A55D4"/>
    <w:rsid w:val="004A569A"/>
    <w:rsid w:val="004A5B02"/>
    <w:rsid w:val="004A698A"/>
    <w:rsid w:val="004A6A04"/>
    <w:rsid w:val="004A769A"/>
    <w:rsid w:val="004A7AE3"/>
    <w:rsid w:val="004B010E"/>
    <w:rsid w:val="004B08DA"/>
    <w:rsid w:val="004B118F"/>
    <w:rsid w:val="004B167E"/>
    <w:rsid w:val="004B2045"/>
    <w:rsid w:val="004B5C2E"/>
    <w:rsid w:val="004B69E8"/>
    <w:rsid w:val="004B718D"/>
    <w:rsid w:val="004B7418"/>
    <w:rsid w:val="004B7E02"/>
    <w:rsid w:val="004B7FDD"/>
    <w:rsid w:val="004C0578"/>
    <w:rsid w:val="004C05C5"/>
    <w:rsid w:val="004C1443"/>
    <w:rsid w:val="004C2300"/>
    <w:rsid w:val="004C30A7"/>
    <w:rsid w:val="004C5C31"/>
    <w:rsid w:val="004C6287"/>
    <w:rsid w:val="004D148F"/>
    <w:rsid w:val="004D17BC"/>
    <w:rsid w:val="004D17E3"/>
    <w:rsid w:val="004D58AC"/>
    <w:rsid w:val="004D698B"/>
    <w:rsid w:val="004D70A2"/>
    <w:rsid w:val="004D7D2F"/>
    <w:rsid w:val="004E229F"/>
    <w:rsid w:val="004E32BD"/>
    <w:rsid w:val="004E39CD"/>
    <w:rsid w:val="004E4673"/>
    <w:rsid w:val="004E48AC"/>
    <w:rsid w:val="004E4C75"/>
    <w:rsid w:val="004E5EF2"/>
    <w:rsid w:val="004E775D"/>
    <w:rsid w:val="004F009E"/>
    <w:rsid w:val="004F152D"/>
    <w:rsid w:val="004F187E"/>
    <w:rsid w:val="004F32E7"/>
    <w:rsid w:val="004F40FE"/>
    <w:rsid w:val="004F5600"/>
    <w:rsid w:val="004F5D1C"/>
    <w:rsid w:val="004F6468"/>
    <w:rsid w:val="004F79BC"/>
    <w:rsid w:val="00502512"/>
    <w:rsid w:val="005053B9"/>
    <w:rsid w:val="00505471"/>
    <w:rsid w:val="00505475"/>
    <w:rsid w:val="00510044"/>
    <w:rsid w:val="00510648"/>
    <w:rsid w:val="00511AA3"/>
    <w:rsid w:val="0051254C"/>
    <w:rsid w:val="00513CB5"/>
    <w:rsid w:val="0051458E"/>
    <w:rsid w:val="0051630C"/>
    <w:rsid w:val="00521449"/>
    <w:rsid w:val="00521506"/>
    <w:rsid w:val="00521E4E"/>
    <w:rsid w:val="00522ACA"/>
    <w:rsid w:val="00522C4A"/>
    <w:rsid w:val="00523A75"/>
    <w:rsid w:val="00525D99"/>
    <w:rsid w:val="00526584"/>
    <w:rsid w:val="00527238"/>
    <w:rsid w:val="00530902"/>
    <w:rsid w:val="00534A9F"/>
    <w:rsid w:val="00534D1B"/>
    <w:rsid w:val="005370EA"/>
    <w:rsid w:val="0053788A"/>
    <w:rsid w:val="005378EA"/>
    <w:rsid w:val="005402A0"/>
    <w:rsid w:val="0054086B"/>
    <w:rsid w:val="00541F76"/>
    <w:rsid w:val="0054243F"/>
    <w:rsid w:val="005437F0"/>
    <w:rsid w:val="00544AB4"/>
    <w:rsid w:val="005453CA"/>
    <w:rsid w:val="005458DD"/>
    <w:rsid w:val="00546EDE"/>
    <w:rsid w:val="005474BA"/>
    <w:rsid w:val="00547F81"/>
    <w:rsid w:val="00550A3A"/>
    <w:rsid w:val="00551F68"/>
    <w:rsid w:val="005526D8"/>
    <w:rsid w:val="005529E2"/>
    <w:rsid w:val="00553507"/>
    <w:rsid w:val="00553C86"/>
    <w:rsid w:val="00554932"/>
    <w:rsid w:val="00555492"/>
    <w:rsid w:val="00555B4E"/>
    <w:rsid w:val="00555F85"/>
    <w:rsid w:val="0055620D"/>
    <w:rsid w:val="005563B0"/>
    <w:rsid w:val="00556B30"/>
    <w:rsid w:val="00556E01"/>
    <w:rsid w:val="005571F5"/>
    <w:rsid w:val="00561720"/>
    <w:rsid w:val="0056190D"/>
    <w:rsid w:val="005643DC"/>
    <w:rsid w:val="005655B6"/>
    <w:rsid w:val="00565C6E"/>
    <w:rsid w:val="005700AC"/>
    <w:rsid w:val="00570100"/>
    <w:rsid w:val="005720CF"/>
    <w:rsid w:val="005722C6"/>
    <w:rsid w:val="00573B0E"/>
    <w:rsid w:val="00574C4D"/>
    <w:rsid w:val="005764E2"/>
    <w:rsid w:val="00576DD8"/>
    <w:rsid w:val="00577336"/>
    <w:rsid w:val="005813A8"/>
    <w:rsid w:val="0058159C"/>
    <w:rsid w:val="005826B3"/>
    <w:rsid w:val="0058539E"/>
    <w:rsid w:val="005866A0"/>
    <w:rsid w:val="0059050B"/>
    <w:rsid w:val="0059135D"/>
    <w:rsid w:val="00593302"/>
    <w:rsid w:val="00595C58"/>
    <w:rsid w:val="00597833"/>
    <w:rsid w:val="005978E9"/>
    <w:rsid w:val="005A4155"/>
    <w:rsid w:val="005A495B"/>
    <w:rsid w:val="005A69C9"/>
    <w:rsid w:val="005A725A"/>
    <w:rsid w:val="005B031A"/>
    <w:rsid w:val="005B06E9"/>
    <w:rsid w:val="005B0BF3"/>
    <w:rsid w:val="005B1125"/>
    <w:rsid w:val="005B1199"/>
    <w:rsid w:val="005B274D"/>
    <w:rsid w:val="005B43C8"/>
    <w:rsid w:val="005B4B85"/>
    <w:rsid w:val="005B6B41"/>
    <w:rsid w:val="005B6F25"/>
    <w:rsid w:val="005C0E10"/>
    <w:rsid w:val="005C0F0E"/>
    <w:rsid w:val="005C2186"/>
    <w:rsid w:val="005C5079"/>
    <w:rsid w:val="005C618E"/>
    <w:rsid w:val="005C65C7"/>
    <w:rsid w:val="005C6F74"/>
    <w:rsid w:val="005D0FEF"/>
    <w:rsid w:val="005D2880"/>
    <w:rsid w:val="005D2B6D"/>
    <w:rsid w:val="005D3E00"/>
    <w:rsid w:val="005D5443"/>
    <w:rsid w:val="005D5EF6"/>
    <w:rsid w:val="005D6A8C"/>
    <w:rsid w:val="005D6FCF"/>
    <w:rsid w:val="005E1CEF"/>
    <w:rsid w:val="005E31AC"/>
    <w:rsid w:val="005E45EA"/>
    <w:rsid w:val="005E6857"/>
    <w:rsid w:val="005F054E"/>
    <w:rsid w:val="005F0901"/>
    <w:rsid w:val="005F12A5"/>
    <w:rsid w:val="005F12AC"/>
    <w:rsid w:val="005F1F20"/>
    <w:rsid w:val="005F2284"/>
    <w:rsid w:val="005F2720"/>
    <w:rsid w:val="005F2A68"/>
    <w:rsid w:val="005F35DC"/>
    <w:rsid w:val="005F3CAA"/>
    <w:rsid w:val="005F4369"/>
    <w:rsid w:val="005F4C1F"/>
    <w:rsid w:val="005F58E6"/>
    <w:rsid w:val="005F6ADF"/>
    <w:rsid w:val="00600816"/>
    <w:rsid w:val="00600B83"/>
    <w:rsid w:val="006029D3"/>
    <w:rsid w:val="006035AA"/>
    <w:rsid w:val="0060384D"/>
    <w:rsid w:val="006067F9"/>
    <w:rsid w:val="0060686A"/>
    <w:rsid w:val="0060794D"/>
    <w:rsid w:val="00607A12"/>
    <w:rsid w:val="00613905"/>
    <w:rsid w:val="00614A82"/>
    <w:rsid w:val="0061782F"/>
    <w:rsid w:val="00617C9E"/>
    <w:rsid w:val="00617CC6"/>
    <w:rsid w:val="00620F27"/>
    <w:rsid w:val="00621C3E"/>
    <w:rsid w:val="00621DEB"/>
    <w:rsid w:val="0062274F"/>
    <w:rsid w:val="00622DA5"/>
    <w:rsid w:val="006234B5"/>
    <w:rsid w:val="006237F0"/>
    <w:rsid w:val="00625D30"/>
    <w:rsid w:val="006263BE"/>
    <w:rsid w:val="0062748B"/>
    <w:rsid w:val="00627511"/>
    <w:rsid w:val="0063276C"/>
    <w:rsid w:val="0063322D"/>
    <w:rsid w:val="00635908"/>
    <w:rsid w:val="006363BF"/>
    <w:rsid w:val="00636BCF"/>
    <w:rsid w:val="00636C3B"/>
    <w:rsid w:val="00637C18"/>
    <w:rsid w:val="006412FE"/>
    <w:rsid w:val="00641689"/>
    <w:rsid w:val="0064422B"/>
    <w:rsid w:val="0064433C"/>
    <w:rsid w:val="00644B9E"/>
    <w:rsid w:val="00646701"/>
    <w:rsid w:val="00646A01"/>
    <w:rsid w:val="0064722C"/>
    <w:rsid w:val="006512D5"/>
    <w:rsid w:val="006526B7"/>
    <w:rsid w:val="00653709"/>
    <w:rsid w:val="00653A0C"/>
    <w:rsid w:val="00653E56"/>
    <w:rsid w:val="00655032"/>
    <w:rsid w:val="006552F6"/>
    <w:rsid w:val="00655325"/>
    <w:rsid w:val="006557E4"/>
    <w:rsid w:val="00655E0B"/>
    <w:rsid w:val="006623A4"/>
    <w:rsid w:val="006647FE"/>
    <w:rsid w:val="00664EBE"/>
    <w:rsid w:val="00665810"/>
    <w:rsid w:val="00666063"/>
    <w:rsid w:val="00667676"/>
    <w:rsid w:val="00670B77"/>
    <w:rsid w:val="00672A8E"/>
    <w:rsid w:val="006730A9"/>
    <w:rsid w:val="00674549"/>
    <w:rsid w:val="006748EB"/>
    <w:rsid w:val="00675491"/>
    <w:rsid w:val="00675868"/>
    <w:rsid w:val="00676198"/>
    <w:rsid w:val="0067642C"/>
    <w:rsid w:val="006770D5"/>
    <w:rsid w:val="006773C0"/>
    <w:rsid w:val="00680073"/>
    <w:rsid w:val="00680873"/>
    <w:rsid w:val="00681159"/>
    <w:rsid w:val="006820D4"/>
    <w:rsid w:val="00683963"/>
    <w:rsid w:val="00684088"/>
    <w:rsid w:val="006841B4"/>
    <w:rsid w:val="00684732"/>
    <w:rsid w:val="00684FE2"/>
    <w:rsid w:val="00685E9C"/>
    <w:rsid w:val="00686798"/>
    <w:rsid w:val="00686D88"/>
    <w:rsid w:val="006871BC"/>
    <w:rsid w:val="00687417"/>
    <w:rsid w:val="00687E6A"/>
    <w:rsid w:val="00690C4F"/>
    <w:rsid w:val="00690D5A"/>
    <w:rsid w:val="00694003"/>
    <w:rsid w:val="00695233"/>
    <w:rsid w:val="006955E9"/>
    <w:rsid w:val="00695883"/>
    <w:rsid w:val="00695CDB"/>
    <w:rsid w:val="006A06E7"/>
    <w:rsid w:val="006A18CA"/>
    <w:rsid w:val="006A2080"/>
    <w:rsid w:val="006A2B9C"/>
    <w:rsid w:val="006A2E22"/>
    <w:rsid w:val="006A2FE7"/>
    <w:rsid w:val="006A45E0"/>
    <w:rsid w:val="006A4DC4"/>
    <w:rsid w:val="006A5998"/>
    <w:rsid w:val="006A5C91"/>
    <w:rsid w:val="006A7DA1"/>
    <w:rsid w:val="006A7FC7"/>
    <w:rsid w:val="006B1B1E"/>
    <w:rsid w:val="006B24E2"/>
    <w:rsid w:val="006B5007"/>
    <w:rsid w:val="006B587D"/>
    <w:rsid w:val="006B6C6E"/>
    <w:rsid w:val="006B7CC2"/>
    <w:rsid w:val="006C0282"/>
    <w:rsid w:val="006C0FCC"/>
    <w:rsid w:val="006C3624"/>
    <w:rsid w:val="006C389E"/>
    <w:rsid w:val="006C3E98"/>
    <w:rsid w:val="006C45AE"/>
    <w:rsid w:val="006C4B06"/>
    <w:rsid w:val="006C5421"/>
    <w:rsid w:val="006C5DD5"/>
    <w:rsid w:val="006C6618"/>
    <w:rsid w:val="006C7416"/>
    <w:rsid w:val="006C76B0"/>
    <w:rsid w:val="006C76ED"/>
    <w:rsid w:val="006C7A11"/>
    <w:rsid w:val="006D099D"/>
    <w:rsid w:val="006D09E0"/>
    <w:rsid w:val="006D10B9"/>
    <w:rsid w:val="006D1548"/>
    <w:rsid w:val="006D1D12"/>
    <w:rsid w:val="006D32FC"/>
    <w:rsid w:val="006D4E4A"/>
    <w:rsid w:val="006D5115"/>
    <w:rsid w:val="006D7955"/>
    <w:rsid w:val="006E17CB"/>
    <w:rsid w:val="006E18C4"/>
    <w:rsid w:val="006E1A95"/>
    <w:rsid w:val="006E26BF"/>
    <w:rsid w:val="006E2834"/>
    <w:rsid w:val="006E286B"/>
    <w:rsid w:val="006E29C6"/>
    <w:rsid w:val="006E4E74"/>
    <w:rsid w:val="006E5964"/>
    <w:rsid w:val="006E6240"/>
    <w:rsid w:val="006E7064"/>
    <w:rsid w:val="006E7A20"/>
    <w:rsid w:val="006F0449"/>
    <w:rsid w:val="006F0ABA"/>
    <w:rsid w:val="006F0AC1"/>
    <w:rsid w:val="006F26AA"/>
    <w:rsid w:val="006F39E6"/>
    <w:rsid w:val="006F41EA"/>
    <w:rsid w:val="006F77C4"/>
    <w:rsid w:val="006F7F4A"/>
    <w:rsid w:val="007006D7"/>
    <w:rsid w:val="007017D4"/>
    <w:rsid w:val="00705B33"/>
    <w:rsid w:val="00705D9E"/>
    <w:rsid w:val="007063D2"/>
    <w:rsid w:val="00706A35"/>
    <w:rsid w:val="00706B7A"/>
    <w:rsid w:val="00711F88"/>
    <w:rsid w:val="00713C69"/>
    <w:rsid w:val="00714D76"/>
    <w:rsid w:val="00715655"/>
    <w:rsid w:val="00715B40"/>
    <w:rsid w:val="00716D81"/>
    <w:rsid w:val="00721134"/>
    <w:rsid w:val="00721C2C"/>
    <w:rsid w:val="00724601"/>
    <w:rsid w:val="00725B78"/>
    <w:rsid w:val="00727A13"/>
    <w:rsid w:val="00732383"/>
    <w:rsid w:val="007324D7"/>
    <w:rsid w:val="0073295F"/>
    <w:rsid w:val="00733713"/>
    <w:rsid w:val="00734268"/>
    <w:rsid w:val="0073464B"/>
    <w:rsid w:val="00734856"/>
    <w:rsid w:val="00735C04"/>
    <w:rsid w:val="00737E56"/>
    <w:rsid w:val="00740716"/>
    <w:rsid w:val="00741857"/>
    <w:rsid w:val="0074209E"/>
    <w:rsid w:val="007422B5"/>
    <w:rsid w:val="0074359B"/>
    <w:rsid w:val="0074526D"/>
    <w:rsid w:val="007456CA"/>
    <w:rsid w:val="00746FF1"/>
    <w:rsid w:val="007515E2"/>
    <w:rsid w:val="00752F36"/>
    <w:rsid w:val="0075388C"/>
    <w:rsid w:val="0075487A"/>
    <w:rsid w:val="00754E09"/>
    <w:rsid w:val="00755559"/>
    <w:rsid w:val="007557E8"/>
    <w:rsid w:val="0075596D"/>
    <w:rsid w:val="00755C9A"/>
    <w:rsid w:val="007565E3"/>
    <w:rsid w:val="0075688A"/>
    <w:rsid w:val="007578E8"/>
    <w:rsid w:val="0076250E"/>
    <w:rsid w:val="00762B50"/>
    <w:rsid w:val="00762EA2"/>
    <w:rsid w:val="00762EFE"/>
    <w:rsid w:val="00765560"/>
    <w:rsid w:val="007662C6"/>
    <w:rsid w:val="007663D3"/>
    <w:rsid w:val="0076736D"/>
    <w:rsid w:val="0077031D"/>
    <w:rsid w:val="007704C1"/>
    <w:rsid w:val="00771161"/>
    <w:rsid w:val="00771A1A"/>
    <w:rsid w:val="007724DD"/>
    <w:rsid w:val="007731F5"/>
    <w:rsid w:val="007738CF"/>
    <w:rsid w:val="00774927"/>
    <w:rsid w:val="00774EC9"/>
    <w:rsid w:val="007751DD"/>
    <w:rsid w:val="007752CF"/>
    <w:rsid w:val="00775E6E"/>
    <w:rsid w:val="00775EB1"/>
    <w:rsid w:val="007766C0"/>
    <w:rsid w:val="00776FE8"/>
    <w:rsid w:val="00777E4A"/>
    <w:rsid w:val="00777F48"/>
    <w:rsid w:val="0078052F"/>
    <w:rsid w:val="007835BB"/>
    <w:rsid w:val="00783D75"/>
    <w:rsid w:val="00783EFE"/>
    <w:rsid w:val="00784D80"/>
    <w:rsid w:val="007858E9"/>
    <w:rsid w:val="00791A4B"/>
    <w:rsid w:val="00791BD6"/>
    <w:rsid w:val="0079250D"/>
    <w:rsid w:val="007944F4"/>
    <w:rsid w:val="0079513B"/>
    <w:rsid w:val="007972A7"/>
    <w:rsid w:val="00797A9E"/>
    <w:rsid w:val="007A00A5"/>
    <w:rsid w:val="007A1101"/>
    <w:rsid w:val="007A1FB8"/>
    <w:rsid w:val="007A49DC"/>
    <w:rsid w:val="007A6DB6"/>
    <w:rsid w:val="007A7651"/>
    <w:rsid w:val="007B2ACD"/>
    <w:rsid w:val="007B2FA9"/>
    <w:rsid w:val="007B3641"/>
    <w:rsid w:val="007B37EF"/>
    <w:rsid w:val="007B3920"/>
    <w:rsid w:val="007B3FC2"/>
    <w:rsid w:val="007B45E0"/>
    <w:rsid w:val="007B517E"/>
    <w:rsid w:val="007B5AC3"/>
    <w:rsid w:val="007C01AA"/>
    <w:rsid w:val="007C1DA4"/>
    <w:rsid w:val="007C44CD"/>
    <w:rsid w:val="007C5788"/>
    <w:rsid w:val="007C58EC"/>
    <w:rsid w:val="007C67C8"/>
    <w:rsid w:val="007C6ED7"/>
    <w:rsid w:val="007C75CF"/>
    <w:rsid w:val="007D0504"/>
    <w:rsid w:val="007D072A"/>
    <w:rsid w:val="007D11A4"/>
    <w:rsid w:val="007D17BA"/>
    <w:rsid w:val="007D228E"/>
    <w:rsid w:val="007D2D81"/>
    <w:rsid w:val="007D37C0"/>
    <w:rsid w:val="007D48A1"/>
    <w:rsid w:val="007D64CC"/>
    <w:rsid w:val="007D6A99"/>
    <w:rsid w:val="007D7BA9"/>
    <w:rsid w:val="007E08EA"/>
    <w:rsid w:val="007E0F48"/>
    <w:rsid w:val="007E213C"/>
    <w:rsid w:val="007E2627"/>
    <w:rsid w:val="007E2F72"/>
    <w:rsid w:val="007E35AF"/>
    <w:rsid w:val="007E53E0"/>
    <w:rsid w:val="007E5FC7"/>
    <w:rsid w:val="007E7A63"/>
    <w:rsid w:val="007F0479"/>
    <w:rsid w:val="007F1112"/>
    <w:rsid w:val="007F3B93"/>
    <w:rsid w:val="007F45B4"/>
    <w:rsid w:val="007F6F16"/>
    <w:rsid w:val="007F77D6"/>
    <w:rsid w:val="00801044"/>
    <w:rsid w:val="00801657"/>
    <w:rsid w:val="00803065"/>
    <w:rsid w:val="00804698"/>
    <w:rsid w:val="00807A6A"/>
    <w:rsid w:val="008121BC"/>
    <w:rsid w:val="00812226"/>
    <w:rsid w:val="008129C9"/>
    <w:rsid w:val="00812F28"/>
    <w:rsid w:val="00813CFF"/>
    <w:rsid w:val="00814230"/>
    <w:rsid w:val="00814716"/>
    <w:rsid w:val="008149BC"/>
    <w:rsid w:val="008153C0"/>
    <w:rsid w:val="008154E8"/>
    <w:rsid w:val="00817AB7"/>
    <w:rsid w:val="00820289"/>
    <w:rsid w:val="008211C9"/>
    <w:rsid w:val="0082221E"/>
    <w:rsid w:val="008272E5"/>
    <w:rsid w:val="00827B93"/>
    <w:rsid w:val="00830191"/>
    <w:rsid w:val="00831398"/>
    <w:rsid w:val="00831BE8"/>
    <w:rsid w:val="00834357"/>
    <w:rsid w:val="00834AAD"/>
    <w:rsid w:val="00834CA8"/>
    <w:rsid w:val="00835596"/>
    <w:rsid w:val="00835651"/>
    <w:rsid w:val="0083607C"/>
    <w:rsid w:val="00836540"/>
    <w:rsid w:val="0083662A"/>
    <w:rsid w:val="0083718A"/>
    <w:rsid w:val="0083744C"/>
    <w:rsid w:val="00837CDB"/>
    <w:rsid w:val="00840CD9"/>
    <w:rsid w:val="00840FBF"/>
    <w:rsid w:val="00841505"/>
    <w:rsid w:val="00841690"/>
    <w:rsid w:val="008424CC"/>
    <w:rsid w:val="00842758"/>
    <w:rsid w:val="008446EF"/>
    <w:rsid w:val="00844BE7"/>
    <w:rsid w:val="00844C9A"/>
    <w:rsid w:val="008451EC"/>
    <w:rsid w:val="008459AB"/>
    <w:rsid w:val="00845E60"/>
    <w:rsid w:val="00845F31"/>
    <w:rsid w:val="0084762D"/>
    <w:rsid w:val="00847885"/>
    <w:rsid w:val="0085131A"/>
    <w:rsid w:val="00851A54"/>
    <w:rsid w:val="00852510"/>
    <w:rsid w:val="0085286A"/>
    <w:rsid w:val="00853661"/>
    <w:rsid w:val="00855CDD"/>
    <w:rsid w:val="008563C1"/>
    <w:rsid w:val="00856CDC"/>
    <w:rsid w:val="0085799C"/>
    <w:rsid w:val="00861B14"/>
    <w:rsid w:val="00862705"/>
    <w:rsid w:val="0086341D"/>
    <w:rsid w:val="008637E4"/>
    <w:rsid w:val="00865E6A"/>
    <w:rsid w:val="008666EF"/>
    <w:rsid w:val="0086718B"/>
    <w:rsid w:val="008672E0"/>
    <w:rsid w:val="00867471"/>
    <w:rsid w:val="00867623"/>
    <w:rsid w:val="00872B8D"/>
    <w:rsid w:val="00875ADF"/>
    <w:rsid w:val="00875BC0"/>
    <w:rsid w:val="00877511"/>
    <w:rsid w:val="008825FF"/>
    <w:rsid w:val="0088396A"/>
    <w:rsid w:val="00883A37"/>
    <w:rsid w:val="00883FFE"/>
    <w:rsid w:val="0088560B"/>
    <w:rsid w:val="00890EB7"/>
    <w:rsid w:val="008915DE"/>
    <w:rsid w:val="008924A1"/>
    <w:rsid w:val="008930E3"/>
    <w:rsid w:val="008933F1"/>
    <w:rsid w:val="00894384"/>
    <w:rsid w:val="00895E53"/>
    <w:rsid w:val="008967CD"/>
    <w:rsid w:val="008A0EB7"/>
    <w:rsid w:val="008A1248"/>
    <w:rsid w:val="008A2B89"/>
    <w:rsid w:val="008A37EE"/>
    <w:rsid w:val="008A52A1"/>
    <w:rsid w:val="008A59C2"/>
    <w:rsid w:val="008A5BB0"/>
    <w:rsid w:val="008A760C"/>
    <w:rsid w:val="008B1DA0"/>
    <w:rsid w:val="008B3715"/>
    <w:rsid w:val="008B3BE6"/>
    <w:rsid w:val="008B3D76"/>
    <w:rsid w:val="008B682F"/>
    <w:rsid w:val="008B7DDA"/>
    <w:rsid w:val="008C0A95"/>
    <w:rsid w:val="008C21CE"/>
    <w:rsid w:val="008C2525"/>
    <w:rsid w:val="008C363F"/>
    <w:rsid w:val="008C52F2"/>
    <w:rsid w:val="008C620D"/>
    <w:rsid w:val="008C627E"/>
    <w:rsid w:val="008C7D32"/>
    <w:rsid w:val="008D1192"/>
    <w:rsid w:val="008D3FCA"/>
    <w:rsid w:val="008D5235"/>
    <w:rsid w:val="008D5B38"/>
    <w:rsid w:val="008D5C97"/>
    <w:rsid w:val="008D5E85"/>
    <w:rsid w:val="008D6261"/>
    <w:rsid w:val="008E0F1D"/>
    <w:rsid w:val="008E18C2"/>
    <w:rsid w:val="008E2F7C"/>
    <w:rsid w:val="008E4B11"/>
    <w:rsid w:val="008E6EB5"/>
    <w:rsid w:val="008E72E5"/>
    <w:rsid w:val="008E789E"/>
    <w:rsid w:val="008E7FE1"/>
    <w:rsid w:val="008F32A9"/>
    <w:rsid w:val="008F33F3"/>
    <w:rsid w:val="008F43F5"/>
    <w:rsid w:val="008F4B7D"/>
    <w:rsid w:val="008F4E84"/>
    <w:rsid w:val="008F6120"/>
    <w:rsid w:val="008F633E"/>
    <w:rsid w:val="008F63BD"/>
    <w:rsid w:val="008F729E"/>
    <w:rsid w:val="00902375"/>
    <w:rsid w:val="00902BB0"/>
    <w:rsid w:val="00905231"/>
    <w:rsid w:val="0090541B"/>
    <w:rsid w:val="00905E29"/>
    <w:rsid w:val="0090612F"/>
    <w:rsid w:val="0090694F"/>
    <w:rsid w:val="00907E1C"/>
    <w:rsid w:val="0091134C"/>
    <w:rsid w:val="00911B8A"/>
    <w:rsid w:val="00912338"/>
    <w:rsid w:val="00912447"/>
    <w:rsid w:val="00912DA9"/>
    <w:rsid w:val="00912FCD"/>
    <w:rsid w:val="00913F4D"/>
    <w:rsid w:val="00914DDA"/>
    <w:rsid w:val="00914FE5"/>
    <w:rsid w:val="009155D9"/>
    <w:rsid w:val="00920956"/>
    <w:rsid w:val="00925BAE"/>
    <w:rsid w:val="009263D6"/>
    <w:rsid w:val="00926CAB"/>
    <w:rsid w:val="00926CD6"/>
    <w:rsid w:val="00930AF5"/>
    <w:rsid w:val="0093157B"/>
    <w:rsid w:val="009324E3"/>
    <w:rsid w:val="009329AB"/>
    <w:rsid w:val="00933074"/>
    <w:rsid w:val="0093440A"/>
    <w:rsid w:val="0094304E"/>
    <w:rsid w:val="00944DB8"/>
    <w:rsid w:val="00945A98"/>
    <w:rsid w:val="0094719C"/>
    <w:rsid w:val="009511A0"/>
    <w:rsid w:val="009514A6"/>
    <w:rsid w:val="009524DB"/>
    <w:rsid w:val="009526AC"/>
    <w:rsid w:val="00953277"/>
    <w:rsid w:val="009544E7"/>
    <w:rsid w:val="009549F6"/>
    <w:rsid w:val="009550D7"/>
    <w:rsid w:val="00956607"/>
    <w:rsid w:val="00956B73"/>
    <w:rsid w:val="00960386"/>
    <w:rsid w:val="00960649"/>
    <w:rsid w:val="009619D1"/>
    <w:rsid w:val="00961E4A"/>
    <w:rsid w:val="00962B1C"/>
    <w:rsid w:val="00962BAC"/>
    <w:rsid w:val="00963078"/>
    <w:rsid w:val="00963551"/>
    <w:rsid w:val="0096367A"/>
    <w:rsid w:val="009638F1"/>
    <w:rsid w:val="0096783D"/>
    <w:rsid w:val="00970CFA"/>
    <w:rsid w:val="0097129D"/>
    <w:rsid w:val="00971A16"/>
    <w:rsid w:val="00971CED"/>
    <w:rsid w:val="00972BD1"/>
    <w:rsid w:val="00974766"/>
    <w:rsid w:val="0097654B"/>
    <w:rsid w:val="00977528"/>
    <w:rsid w:val="00981300"/>
    <w:rsid w:val="0098200A"/>
    <w:rsid w:val="00982E19"/>
    <w:rsid w:val="00983754"/>
    <w:rsid w:val="00984CA1"/>
    <w:rsid w:val="0098648B"/>
    <w:rsid w:val="00986CE4"/>
    <w:rsid w:val="00990461"/>
    <w:rsid w:val="0099083B"/>
    <w:rsid w:val="00991190"/>
    <w:rsid w:val="00991655"/>
    <w:rsid w:val="009920B4"/>
    <w:rsid w:val="00993211"/>
    <w:rsid w:val="00993565"/>
    <w:rsid w:val="009944D1"/>
    <w:rsid w:val="009949FA"/>
    <w:rsid w:val="009957BB"/>
    <w:rsid w:val="009A035A"/>
    <w:rsid w:val="009A15D1"/>
    <w:rsid w:val="009A2137"/>
    <w:rsid w:val="009A3EA3"/>
    <w:rsid w:val="009A48ED"/>
    <w:rsid w:val="009A5A5A"/>
    <w:rsid w:val="009A6C7D"/>
    <w:rsid w:val="009A6E83"/>
    <w:rsid w:val="009A76D1"/>
    <w:rsid w:val="009A7EB7"/>
    <w:rsid w:val="009B0178"/>
    <w:rsid w:val="009B1212"/>
    <w:rsid w:val="009B13E3"/>
    <w:rsid w:val="009B1A41"/>
    <w:rsid w:val="009B2622"/>
    <w:rsid w:val="009B4144"/>
    <w:rsid w:val="009B57B8"/>
    <w:rsid w:val="009B5EE0"/>
    <w:rsid w:val="009B6447"/>
    <w:rsid w:val="009B64DA"/>
    <w:rsid w:val="009B67BA"/>
    <w:rsid w:val="009B7165"/>
    <w:rsid w:val="009B787B"/>
    <w:rsid w:val="009B7A52"/>
    <w:rsid w:val="009C0184"/>
    <w:rsid w:val="009C08EA"/>
    <w:rsid w:val="009C1661"/>
    <w:rsid w:val="009C1C01"/>
    <w:rsid w:val="009C1D05"/>
    <w:rsid w:val="009C1FF4"/>
    <w:rsid w:val="009C2F63"/>
    <w:rsid w:val="009C39D3"/>
    <w:rsid w:val="009C4D7A"/>
    <w:rsid w:val="009C5D08"/>
    <w:rsid w:val="009C7F99"/>
    <w:rsid w:val="009D0494"/>
    <w:rsid w:val="009D0803"/>
    <w:rsid w:val="009D08B2"/>
    <w:rsid w:val="009D164D"/>
    <w:rsid w:val="009D27A2"/>
    <w:rsid w:val="009D3DF9"/>
    <w:rsid w:val="009D5965"/>
    <w:rsid w:val="009D6613"/>
    <w:rsid w:val="009D73F1"/>
    <w:rsid w:val="009E01D3"/>
    <w:rsid w:val="009E2084"/>
    <w:rsid w:val="009E2A1F"/>
    <w:rsid w:val="009E3523"/>
    <w:rsid w:val="009E40C2"/>
    <w:rsid w:val="009E4182"/>
    <w:rsid w:val="009E509D"/>
    <w:rsid w:val="009F006B"/>
    <w:rsid w:val="009F1772"/>
    <w:rsid w:val="009F1E3C"/>
    <w:rsid w:val="009F23CB"/>
    <w:rsid w:val="009F55FB"/>
    <w:rsid w:val="009F5B72"/>
    <w:rsid w:val="00A00D3E"/>
    <w:rsid w:val="00A01684"/>
    <w:rsid w:val="00A024D2"/>
    <w:rsid w:val="00A03200"/>
    <w:rsid w:val="00A03422"/>
    <w:rsid w:val="00A0410A"/>
    <w:rsid w:val="00A053C3"/>
    <w:rsid w:val="00A05BEB"/>
    <w:rsid w:val="00A06580"/>
    <w:rsid w:val="00A114B2"/>
    <w:rsid w:val="00A118EA"/>
    <w:rsid w:val="00A129D7"/>
    <w:rsid w:val="00A12C63"/>
    <w:rsid w:val="00A14404"/>
    <w:rsid w:val="00A15287"/>
    <w:rsid w:val="00A15C21"/>
    <w:rsid w:val="00A15C89"/>
    <w:rsid w:val="00A164E6"/>
    <w:rsid w:val="00A168DF"/>
    <w:rsid w:val="00A179F2"/>
    <w:rsid w:val="00A2049F"/>
    <w:rsid w:val="00A21A95"/>
    <w:rsid w:val="00A21D41"/>
    <w:rsid w:val="00A22252"/>
    <w:rsid w:val="00A222E1"/>
    <w:rsid w:val="00A2376E"/>
    <w:rsid w:val="00A2551C"/>
    <w:rsid w:val="00A2575F"/>
    <w:rsid w:val="00A25C8B"/>
    <w:rsid w:val="00A26A71"/>
    <w:rsid w:val="00A26B40"/>
    <w:rsid w:val="00A311EE"/>
    <w:rsid w:val="00A327C8"/>
    <w:rsid w:val="00A333BB"/>
    <w:rsid w:val="00A33653"/>
    <w:rsid w:val="00A33FC8"/>
    <w:rsid w:val="00A35F3C"/>
    <w:rsid w:val="00A407D6"/>
    <w:rsid w:val="00A433EB"/>
    <w:rsid w:val="00A435F4"/>
    <w:rsid w:val="00A442C0"/>
    <w:rsid w:val="00A45CF6"/>
    <w:rsid w:val="00A46E11"/>
    <w:rsid w:val="00A47D90"/>
    <w:rsid w:val="00A50F7F"/>
    <w:rsid w:val="00A514CE"/>
    <w:rsid w:val="00A5155D"/>
    <w:rsid w:val="00A5396F"/>
    <w:rsid w:val="00A570B7"/>
    <w:rsid w:val="00A57484"/>
    <w:rsid w:val="00A57A53"/>
    <w:rsid w:val="00A6037A"/>
    <w:rsid w:val="00A61392"/>
    <w:rsid w:val="00A62214"/>
    <w:rsid w:val="00A62309"/>
    <w:rsid w:val="00A642A3"/>
    <w:rsid w:val="00A65B2E"/>
    <w:rsid w:val="00A70308"/>
    <w:rsid w:val="00A70425"/>
    <w:rsid w:val="00A70A27"/>
    <w:rsid w:val="00A70CAA"/>
    <w:rsid w:val="00A7170E"/>
    <w:rsid w:val="00A7411A"/>
    <w:rsid w:val="00A7714C"/>
    <w:rsid w:val="00A7750F"/>
    <w:rsid w:val="00A77594"/>
    <w:rsid w:val="00A778CF"/>
    <w:rsid w:val="00A807B1"/>
    <w:rsid w:val="00A80B7C"/>
    <w:rsid w:val="00A811EA"/>
    <w:rsid w:val="00A8375B"/>
    <w:rsid w:val="00A83F43"/>
    <w:rsid w:val="00A85B02"/>
    <w:rsid w:val="00A85C38"/>
    <w:rsid w:val="00A86342"/>
    <w:rsid w:val="00A90560"/>
    <w:rsid w:val="00A90DB5"/>
    <w:rsid w:val="00A92F3F"/>
    <w:rsid w:val="00A931E4"/>
    <w:rsid w:val="00A93283"/>
    <w:rsid w:val="00A9444B"/>
    <w:rsid w:val="00A94567"/>
    <w:rsid w:val="00A9499B"/>
    <w:rsid w:val="00A9524D"/>
    <w:rsid w:val="00A9610B"/>
    <w:rsid w:val="00A96C87"/>
    <w:rsid w:val="00A97D9A"/>
    <w:rsid w:val="00AA383B"/>
    <w:rsid w:val="00AA49A3"/>
    <w:rsid w:val="00AA5B80"/>
    <w:rsid w:val="00AA6A8B"/>
    <w:rsid w:val="00AA74C2"/>
    <w:rsid w:val="00AB0952"/>
    <w:rsid w:val="00AB234E"/>
    <w:rsid w:val="00AB2EC0"/>
    <w:rsid w:val="00AB4995"/>
    <w:rsid w:val="00AB5AAA"/>
    <w:rsid w:val="00AB5CCE"/>
    <w:rsid w:val="00AB63BF"/>
    <w:rsid w:val="00AB6954"/>
    <w:rsid w:val="00AC27D3"/>
    <w:rsid w:val="00AC2A80"/>
    <w:rsid w:val="00AC307F"/>
    <w:rsid w:val="00AC36CB"/>
    <w:rsid w:val="00AC37BE"/>
    <w:rsid w:val="00AC3BD3"/>
    <w:rsid w:val="00AC43DA"/>
    <w:rsid w:val="00AC46C8"/>
    <w:rsid w:val="00AC4F51"/>
    <w:rsid w:val="00AC52CB"/>
    <w:rsid w:val="00AC6977"/>
    <w:rsid w:val="00AC768E"/>
    <w:rsid w:val="00AD19CC"/>
    <w:rsid w:val="00AD2B7B"/>
    <w:rsid w:val="00AD4AC9"/>
    <w:rsid w:val="00AD5B83"/>
    <w:rsid w:val="00AD718F"/>
    <w:rsid w:val="00AE0975"/>
    <w:rsid w:val="00AE0A87"/>
    <w:rsid w:val="00AE0AF2"/>
    <w:rsid w:val="00AE1331"/>
    <w:rsid w:val="00AE1681"/>
    <w:rsid w:val="00AE1794"/>
    <w:rsid w:val="00AE3F8E"/>
    <w:rsid w:val="00AE3F9B"/>
    <w:rsid w:val="00AE418D"/>
    <w:rsid w:val="00AE4F39"/>
    <w:rsid w:val="00AE4FA4"/>
    <w:rsid w:val="00AE516A"/>
    <w:rsid w:val="00AE52D7"/>
    <w:rsid w:val="00AE55C8"/>
    <w:rsid w:val="00AE6D9B"/>
    <w:rsid w:val="00AE7ECA"/>
    <w:rsid w:val="00AF00A4"/>
    <w:rsid w:val="00AF0DC6"/>
    <w:rsid w:val="00AF1FE3"/>
    <w:rsid w:val="00AF242D"/>
    <w:rsid w:val="00AF36CA"/>
    <w:rsid w:val="00AF4619"/>
    <w:rsid w:val="00AF4AA3"/>
    <w:rsid w:val="00AF5B65"/>
    <w:rsid w:val="00AF64D6"/>
    <w:rsid w:val="00AF71C0"/>
    <w:rsid w:val="00AF7571"/>
    <w:rsid w:val="00AF7A23"/>
    <w:rsid w:val="00B00339"/>
    <w:rsid w:val="00B00647"/>
    <w:rsid w:val="00B00965"/>
    <w:rsid w:val="00B02775"/>
    <w:rsid w:val="00B02ACF"/>
    <w:rsid w:val="00B06279"/>
    <w:rsid w:val="00B0638C"/>
    <w:rsid w:val="00B07649"/>
    <w:rsid w:val="00B077AF"/>
    <w:rsid w:val="00B12131"/>
    <w:rsid w:val="00B15007"/>
    <w:rsid w:val="00B162B7"/>
    <w:rsid w:val="00B16B6E"/>
    <w:rsid w:val="00B174F0"/>
    <w:rsid w:val="00B20B2D"/>
    <w:rsid w:val="00B21DB7"/>
    <w:rsid w:val="00B21FC0"/>
    <w:rsid w:val="00B2421B"/>
    <w:rsid w:val="00B25877"/>
    <w:rsid w:val="00B27617"/>
    <w:rsid w:val="00B27654"/>
    <w:rsid w:val="00B319DD"/>
    <w:rsid w:val="00B3280F"/>
    <w:rsid w:val="00B328AC"/>
    <w:rsid w:val="00B32E00"/>
    <w:rsid w:val="00B32EB8"/>
    <w:rsid w:val="00B35023"/>
    <w:rsid w:val="00B3614B"/>
    <w:rsid w:val="00B36400"/>
    <w:rsid w:val="00B41221"/>
    <w:rsid w:val="00B434AE"/>
    <w:rsid w:val="00B43841"/>
    <w:rsid w:val="00B43E59"/>
    <w:rsid w:val="00B44286"/>
    <w:rsid w:val="00B45E24"/>
    <w:rsid w:val="00B50910"/>
    <w:rsid w:val="00B50D95"/>
    <w:rsid w:val="00B52714"/>
    <w:rsid w:val="00B53ACB"/>
    <w:rsid w:val="00B55178"/>
    <w:rsid w:val="00B56FB2"/>
    <w:rsid w:val="00B60F80"/>
    <w:rsid w:val="00B61B97"/>
    <w:rsid w:val="00B6234D"/>
    <w:rsid w:val="00B625A0"/>
    <w:rsid w:val="00B626B2"/>
    <w:rsid w:val="00B6285F"/>
    <w:rsid w:val="00B62A7B"/>
    <w:rsid w:val="00B635CD"/>
    <w:rsid w:val="00B64844"/>
    <w:rsid w:val="00B66435"/>
    <w:rsid w:val="00B67B61"/>
    <w:rsid w:val="00B71AC0"/>
    <w:rsid w:val="00B71ACB"/>
    <w:rsid w:val="00B71C48"/>
    <w:rsid w:val="00B73124"/>
    <w:rsid w:val="00B75ABC"/>
    <w:rsid w:val="00B77E94"/>
    <w:rsid w:val="00B8269E"/>
    <w:rsid w:val="00B82B9C"/>
    <w:rsid w:val="00B82FCF"/>
    <w:rsid w:val="00B8382B"/>
    <w:rsid w:val="00B846D1"/>
    <w:rsid w:val="00B846E8"/>
    <w:rsid w:val="00B8564F"/>
    <w:rsid w:val="00B85A82"/>
    <w:rsid w:val="00B86526"/>
    <w:rsid w:val="00B872BD"/>
    <w:rsid w:val="00B87FCC"/>
    <w:rsid w:val="00B900BE"/>
    <w:rsid w:val="00B90843"/>
    <w:rsid w:val="00B910EE"/>
    <w:rsid w:val="00B91BD7"/>
    <w:rsid w:val="00B91F38"/>
    <w:rsid w:val="00B92A35"/>
    <w:rsid w:val="00B92AC1"/>
    <w:rsid w:val="00B92DB1"/>
    <w:rsid w:val="00B93B0A"/>
    <w:rsid w:val="00B953B7"/>
    <w:rsid w:val="00B95969"/>
    <w:rsid w:val="00B96441"/>
    <w:rsid w:val="00BA0F44"/>
    <w:rsid w:val="00BA277A"/>
    <w:rsid w:val="00BA292C"/>
    <w:rsid w:val="00BA2E51"/>
    <w:rsid w:val="00BA340C"/>
    <w:rsid w:val="00BA3C07"/>
    <w:rsid w:val="00BA54BA"/>
    <w:rsid w:val="00BA6006"/>
    <w:rsid w:val="00BA745D"/>
    <w:rsid w:val="00BA75AC"/>
    <w:rsid w:val="00BA75DD"/>
    <w:rsid w:val="00BA7B7A"/>
    <w:rsid w:val="00BB0E70"/>
    <w:rsid w:val="00BB4A76"/>
    <w:rsid w:val="00BB6F61"/>
    <w:rsid w:val="00BB7248"/>
    <w:rsid w:val="00BC08AE"/>
    <w:rsid w:val="00BC2251"/>
    <w:rsid w:val="00BC28CB"/>
    <w:rsid w:val="00BC2A89"/>
    <w:rsid w:val="00BC57E3"/>
    <w:rsid w:val="00BD0A3A"/>
    <w:rsid w:val="00BD1882"/>
    <w:rsid w:val="00BD2485"/>
    <w:rsid w:val="00BD2981"/>
    <w:rsid w:val="00BD2A27"/>
    <w:rsid w:val="00BD3680"/>
    <w:rsid w:val="00BD4547"/>
    <w:rsid w:val="00BD45A0"/>
    <w:rsid w:val="00BD4CD0"/>
    <w:rsid w:val="00BD58AC"/>
    <w:rsid w:val="00BD5FDA"/>
    <w:rsid w:val="00BE2183"/>
    <w:rsid w:val="00BE3E18"/>
    <w:rsid w:val="00BE5329"/>
    <w:rsid w:val="00BE6F56"/>
    <w:rsid w:val="00BE6FC1"/>
    <w:rsid w:val="00BF1CAD"/>
    <w:rsid w:val="00BF2399"/>
    <w:rsid w:val="00BF3382"/>
    <w:rsid w:val="00BF34A4"/>
    <w:rsid w:val="00BF42EC"/>
    <w:rsid w:val="00BF44B3"/>
    <w:rsid w:val="00BF48D1"/>
    <w:rsid w:val="00BF4D20"/>
    <w:rsid w:val="00BF5C82"/>
    <w:rsid w:val="00BF5FFE"/>
    <w:rsid w:val="00BF79EC"/>
    <w:rsid w:val="00C0048A"/>
    <w:rsid w:val="00C010A2"/>
    <w:rsid w:val="00C02A7A"/>
    <w:rsid w:val="00C02AC9"/>
    <w:rsid w:val="00C05DBE"/>
    <w:rsid w:val="00C06FFE"/>
    <w:rsid w:val="00C14377"/>
    <w:rsid w:val="00C145EB"/>
    <w:rsid w:val="00C16F53"/>
    <w:rsid w:val="00C2216A"/>
    <w:rsid w:val="00C22932"/>
    <w:rsid w:val="00C232DE"/>
    <w:rsid w:val="00C23AA1"/>
    <w:rsid w:val="00C27408"/>
    <w:rsid w:val="00C32837"/>
    <w:rsid w:val="00C32EBE"/>
    <w:rsid w:val="00C35196"/>
    <w:rsid w:val="00C374FE"/>
    <w:rsid w:val="00C37C37"/>
    <w:rsid w:val="00C41B70"/>
    <w:rsid w:val="00C41EF6"/>
    <w:rsid w:val="00C4215B"/>
    <w:rsid w:val="00C424DF"/>
    <w:rsid w:val="00C424E6"/>
    <w:rsid w:val="00C46354"/>
    <w:rsid w:val="00C472C3"/>
    <w:rsid w:val="00C53D34"/>
    <w:rsid w:val="00C55919"/>
    <w:rsid w:val="00C5623B"/>
    <w:rsid w:val="00C56661"/>
    <w:rsid w:val="00C56FCD"/>
    <w:rsid w:val="00C60CFD"/>
    <w:rsid w:val="00C61612"/>
    <w:rsid w:val="00C617A3"/>
    <w:rsid w:val="00C628E1"/>
    <w:rsid w:val="00C62B8D"/>
    <w:rsid w:val="00C6405A"/>
    <w:rsid w:val="00C65357"/>
    <w:rsid w:val="00C66F9D"/>
    <w:rsid w:val="00C67086"/>
    <w:rsid w:val="00C67156"/>
    <w:rsid w:val="00C703E4"/>
    <w:rsid w:val="00C70F06"/>
    <w:rsid w:val="00C72FA3"/>
    <w:rsid w:val="00C7389D"/>
    <w:rsid w:val="00C74192"/>
    <w:rsid w:val="00C76BC9"/>
    <w:rsid w:val="00C76E7E"/>
    <w:rsid w:val="00C77989"/>
    <w:rsid w:val="00C803F7"/>
    <w:rsid w:val="00C80773"/>
    <w:rsid w:val="00C80A4D"/>
    <w:rsid w:val="00C8213D"/>
    <w:rsid w:val="00C826CE"/>
    <w:rsid w:val="00C84611"/>
    <w:rsid w:val="00C849EF"/>
    <w:rsid w:val="00C8535B"/>
    <w:rsid w:val="00C905D1"/>
    <w:rsid w:val="00C90937"/>
    <w:rsid w:val="00C91383"/>
    <w:rsid w:val="00C93E51"/>
    <w:rsid w:val="00C96036"/>
    <w:rsid w:val="00C96119"/>
    <w:rsid w:val="00C963B3"/>
    <w:rsid w:val="00C977FA"/>
    <w:rsid w:val="00CA02AB"/>
    <w:rsid w:val="00CA091F"/>
    <w:rsid w:val="00CA0B13"/>
    <w:rsid w:val="00CA18A5"/>
    <w:rsid w:val="00CA32B1"/>
    <w:rsid w:val="00CA34A8"/>
    <w:rsid w:val="00CA3DC0"/>
    <w:rsid w:val="00CA4C96"/>
    <w:rsid w:val="00CA56F5"/>
    <w:rsid w:val="00CA5F01"/>
    <w:rsid w:val="00CA69E2"/>
    <w:rsid w:val="00CB078B"/>
    <w:rsid w:val="00CB1462"/>
    <w:rsid w:val="00CB2F28"/>
    <w:rsid w:val="00CB58AA"/>
    <w:rsid w:val="00CB60D9"/>
    <w:rsid w:val="00CB6360"/>
    <w:rsid w:val="00CB64A8"/>
    <w:rsid w:val="00CB6D79"/>
    <w:rsid w:val="00CB73E8"/>
    <w:rsid w:val="00CB7929"/>
    <w:rsid w:val="00CB79AC"/>
    <w:rsid w:val="00CC0501"/>
    <w:rsid w:val="00CC186B"/>
    <w:rsid w:val="00CC22A0"/>
    <w:rsid w:val="00CC24F3"/>
    <w:rsid w:val="00CC3EFF"/>
    <w:rsid w:val="00CC4CCC"/>
    <w:rsid w:val="00CC6085"/>
    <w:rsid w:val="00CC691E"/>
    <w:rsid w:val="00CC71A2"/>
    <w:rsid w:val="00CC76E2"/>
    <w:rsid w:val="00CD1FA1"/>
    <w:rsid w:val="00CD26EC"/>
    <w:rsid w:val="00CD3F80"/>
    <w:rsid w:val="00CD475F"/>
    <w:rsid w:val="00CD6688"/>
    <w:rsid w:val="00CD7B6E"/>
    <w:rsid w:val="00CE17A4"/>
    <w:rsid w:val="00CE1F5D"/>
    <w:rsid w:val="00CE29C5"/>
    <w:rsid w:val="00CE51F2"/>
    <w:rsid w:val="00CE5270"/>
    <w:rsid w:val="00CE536A"/>
    <w:rsid w:val="00CE597D"/>
    <w:rsid w:val="00CE5AD6"/>
    <w:rsid w:val="00CE675B"/>
    <w:rsid w:val="00CE68E7"/>
    <w:rsid w:val="00CE709D"/>
    <w:rsid w:val="00CE7B1C"/>
    <w:rsid w:val="00CE7D2F"/>
    <w:rsid w:val="00CF00DD"/>
    <w:rsid w:val="00CF33FF"/>
    <w:rsid w:val="00CF3A83"/>
    <w:rsid w:val="00CF4DEE"/>
    <w:rsid w:val="00CF4FEE"/>
    <w:rsid w:val="00CF57AB"/>
    <w:rsid w:val="00CF630C"/>
    <w:rsid w:val="00CF67F4"/>
    <w:rsid w:val="00D00AD5"/>
    <w:rsid w:val="00D0437D"/>
    <w:rsid w:val="00D04485"/>
    <w:rsid w:val="00D04A7D"/>
    <w:rsid w:val="00D053C6"/>
    <w:rsid w:val="00D05808"/>
    <w:rsid w:val="00D070B2"/>
    <w:rsid w:val="00D074DC"/>
    <w:rsid w:val="00D11263"/>
    <w:rsid w:val="00D12456"/>
    <w:rsid w:val="00D124BC"/>
    <w:rsid w:val="00D14071"/>
    <w:rsid w:val="00D156AB"/>
    <w:rsid w:val="00D15A05"/>
    <w:rsid w:val="00D16D9D"/>
    <w:rsid w:val="00D200D9"/>
    <w:rsid w:val="00D20CEE"/>
    <w:rsid w:val="00D21146"/>
    <w:rsid w:val="00D21D9C"/>
    <w:rsid w:val="00D22C79"/>
    <w:rsid w:val="00D23C35"/>
    <w:rsid w:val="00D25E27"/>
    <w:rsid w:val="00D26998"/>
    <w:rsid w:val="00D26C88"/>
    <w:rsid w:val="00D31A76"/>
    <w:rsid w:val="00D323F9"/>
    <w:rsid w:val="00D32FB7"/>
    <w:rsid w:val="00D35C54"/>
    <w:rsid w:val="00D3764D"/>
    <w:rsid w:val="00D378C4"/>
    <w:rsid w:val="00D4093D"/>
    <w:rsid w:val="00D4281D"/>
    <w:rsid w:val="00D4348D"/>
    <w:rsid w:val="00D440BD"/>
    <w:rsid w:val="00D44A9B"/>
    <w:rsid w:val="00D44C3A"/>
    <w:rsid w:val="00D44DC4"/>
    <w:rsid w:val="00D4615A"/>
    <w:rsid w:val="00D46F07"/>
    <w:rsid w:val="00D479D3"/>
    <w:rsid w:val="00D47DE1"/>
    <w:rsid w:val="00D515CB"/>
    <w:rsid w:val="00D5386E"/>
    <w:rsid w:val="00D54C6C"/>
    <w:rsid w:val="00D556F5"/>
    <w:rsid w:val="00D56515"/>
    <w:rsid w:val="00D56549"/>
    <w:rsid w:val="00D60671"/>
    <w:rsid w:val="00D6068B"/>
    <w:rsid w:val="00D63A52"/>
    <w:rsid w:val="00D6489D"/>
    <w:rsid w:val="00D64B70"/>
    <w:rsid w:val="00D64C27"/>
    <w:rsid w:val="00D64F50"/>
    <w:rsid w:val="00D655C9"/>
    <w:rsid w:val="00D65A20"/>
    <w:rsid w:val="00D668A4"/>
    <w:rsid w:val="00D67541"/>
    <w:rsid w:val="00D67840"/>
    <w:rsid w:val="00D67A69"/>
    <w:rsid w:val="00D71474"/>
    <w:rsid w:val="00D71E24"/>
    <w:rsid w:val="00D7244B"/>
    <w:rsid w:val="00D7307D"/>
    <w:rsid w:val="00D73460"/>
    <w:rsid w:val="00D76C94"/>
    <w:rsid w:val="00D80707"/>
    <w:rsid w:val="00D8219A"/>
    <w:rsid w:val="00D82817"/>
    <w:rsid w:val="00D828CB"/>
    <w:rsid w:val="00D82A4F"/>
    <w:rsid w:val="00D82B06"/>
    <w:rsid w:val="00D82F17"/>
    <w:rsid w:val="00D83B33"/>
    <w:rsid w:val="00D86A1F"/>
    <w:rsid w:val="00D86E1D"/>
    <w:rsid w:val="00D87B60"/>
    <w:rsid w:val="00D9188B"/>
    <w:rsid w:val="00D91C2E"/>
    <w:rsid w:val="00D91CD7"/>
    <w:rsid w:val="00D92E54"/>
    <w:rsid w:val="00D936ED"/>
    <w:rsid w:val="00D93D81"/>
    <w:rsid w:val="00D946B7"/>
    <w:rsid w:val="00D94DC3"/>
    <w:rsid w:val="00D95129"/>
    <w:rsid w:val="00D96750"/>
    <w:rsid w:val="00D96821"/>
    <w:rsid w:val="00D97654"/>
    <w:rsid w:val="00D97958"/>
    <w:rsid w:val="00DA1A37"/>
    <w:rsid w:val="00DA1B20"/>
    <w:rsid w:val="00DA252B"/>
    <w:rsid w:val="00DA2B89"/>
    <w:rsid w:val="00DA3735"/>
    <w:rsid w:val="00DA3B29"/>
    <w:rsid w:val="00DA41BC"/>
    <w:rsid w:val="00DA4A38"/>
    <w:rsid w:val="00DA4B4C"/>
    <w:rsid w:val="00DA5DDC"/>
    <w:rsid w:val="00DA6459"/>
    <w:rsid w:val="00DA683A"/>
    <w:rsid w:val="00DA6927"/>
    <w:rsid w:val="00DA6BE5"/>
    <w:rsid w:val="00DA7B2B"/>
    <w:rsid w:val="00DB022E"/>
    <w:rsid w:val="00DB09E5"/>
    <w:rsid w:val="00DB4451"/>
    <w:rsid w:val="00DB534E"/>
    <w:rsid w:val="00DC3340"/>
    <w:rsid w:val="00DC3B2F"/>
    <w:rsid w:val="00DC4C7B"/>
    <w:rsid w:val="00DD062D"/>
    <w:rsid w:val="00DD1F23"/>
    <w:rsid w:val="00DD2440"/>
    <w:rsid w:val="00DD2757"/>
    <w:rsid w:val="00DD30CA"/>
    <w:rsid w:val="00DD5700"/>
    <w:rsid w:val="00DD5F71"/>
    <w:rsid w:val="00DD6F3A"/>
    <w:rsid w:val="00DD77BD"/>
    <w:rsid w:val="00DE0415"/>
    <w:rsid w:val="00DE0531"/>
    <w:rsid w:val="00DE0CCA"/>
    <w:rsid w:val="00DE1567"/>
    <w:rsid w:val="00DE1AB6"/>
    <w:rsid w:val="00DE1B98"/>
    <w:rsid w:val="00DE31A6"/>
    <w:rsid w:val="00DE3330"/>
    <w:rsid w:val="00DE4713"/>
    <w:rsid w:val="00DE5BE7"/>
    <w:rsid w:val="00DE63C8"/>
    <w:rsid w:val="00DE679D"/>
    <w:rsid w:val="00DE7DD3"/>
    <w:rsid w:val="00DE7EEC"/>
    <w:rsid w:val="00DF2B7E"/>
    <w:rsid w:val="00DF5C61"/>
    <w:rsid w:val="00DF5CC6"/>
    <w:rsid w:val="00DF6758"/>
    <w:rsid w:val="00DF723D"/>
    <w:rsid w:val="00DF7CD4"/>
    <w:rsid w:val="00E00C94"/>
    <w:rsid w:val="00E0153D"/>
    <w:rsid w:val="00E0187F"/>
    <w:rsid w:val="00E0189A"/>
    <w:rsid w:val="00E0195E"/>
    <w:rsid w:val="00E030AB"/>
    <w:rsid w:val="00E03580"/>
    <w:rsid w:val="00E04978"/>
    <w:rsid w:val="00E05FF5"/>
    <w:rsid w:val="00E10EC2"/>
    <w:rsid w:val="00E111CC"/>
    <w:rsid w:val="00E1147C"/>
    <w:rsid w:val="00E11B48"/>
    <w:rsid w:val="00E12726"/>
    <w:rsid w:val="00E12EDB"/>
    <w:rsid w:val="00E13F20"/>
    <w:rsid w:val="00E1455B"/>
    <w:rsid w:val="00E15B30"/>
    <w:rsid w:val="00E167EB"/>
    <w:rsid w:val="00E207C5"/>
    <w:rsid w:val="00E21183"/>
    <w:rsid w:val="00E21C21"/>
    <w:rsid w:val="00E236B0"/>
    <w:rsid w:val="00E2375F"/>
    <w:rsid w:val="00E249C7"/>
    <w:rsid w:val="00E274BE"/>
    <w:rsid w:val="00E31047"/>
    <w:rsid w:val="00E3104F"/>
    <w:rsid w:val="00E31139"/>
    <w:rsid w:val="00E319F3"/>
    <w:rsid w:val="00E31BFF"/>
    <w:rsid w:val="00E31E40"/>
    <w:rsid w:val="00E31E59"/>
    <w:rsid w:val="00E344B0"/>
    <w:rsid w:val="00E34793"/>
    <w:rsid w:val="00E34E3C"/>
    <w:rsid w:val="00E35645"/>
    <w:rsid w:val="00E3663D"/>
    <w:rsid w:val="00E40FA6"/>
    <w:rsid w:val="00E42E6C"/>
    <w:rsid w:val="00E4311E"/>
    <w:rsid w:val="00E43978"/>
    <w:rsid w:val="00E43D74"/>
    <w:rsid w:val="00E4434A"/>
    <w:rsid w:val="00E4455A"/>
    <w:rsid w:val="00E45999"/>
    <w:rsid w:val="00E45A58"/>
    <w:rsid w:val="00E46324"/>
    <w:rsid w:val="00E4666D"/>
    <w:rsid w:val="00E467B7"/>
    <w:rsid w:val="00E51156"/>
    <w:rsid w:val="00E51A37"/>
    <w:rsid w:val="00E52119"/>
    <w:rsid w:val="00E525B0"/>
    <w:rsid w:val="00E52C35"/>
    <w:rsid w:val="00E53F54"/>
    <w:rsid w:val="00E54722"/>
    <w:rsid w:val="00E552E1"/>
    <w:rsid w:val="00E579C2"/>
    <w:rsid w:val="00E6159B"/>
    <w:rsid w:val="00E6246F"/>
    <w:rsid w:val="00E63129"/>
    <w:rsid w:val="00E63297"/>
    <w:rsid w:val="00E653AC"/>
    <w:rsid w:val="00E65A55"/>
    <w:rsid w:val="00E65AB9"/>
    <w:rsid w:val="00E65E49"/>
    <w:rsid w:val="00E71262"/>
    <w:rsid w:val="00E71C9E"/>
    <w:rsid w:val="00E743E8"/>
    <w:rsid w:val="00E74493"/>
    <w:rsid w:val="00E74D42"/>
    <w:rsid w:val="00E74FC0"/>
    <w:rsid w:val="00E768E0"/>
    <w:rsid w:val="00E772C7"/>
    <w:rsid w:val="00E773AC"/>
    <w:rsid w:val="00E77427"/>
    <w:rsid w:val="00E77D43"/>
    <w:rsid w:val="00E81605"/>
    <w:rsid w:val="00E81D65"/>
    <w:rsid w:val="00E82465"/>
    <w:rsid w:val="00E825DC"/>
    <w:rsid w:val="00E82927"/>
    <w:rsid w:val="00E83582"/>
    <w:rsid w:val="00E83D92"/>
    <w:rsid w:val="00E850A2"/>
    <w:rsid w:val="00E85C00"/>
    <w:rsid w:val="00E85DAB"/>
    <w:rsid w:val="00E9024D"/>
    <w:rsid w:val="00E90FD4"/>
    <w:rsid w:val="00E918AA"/>
    <w:rsid w:val="00E93BA4"/>
    <w:rsid w:val="00E95DE1"/>
    <w:rsid w:val="00E971DF"/>
    <w:rsid w:val="00E97B3D"/>
    <w:rsid w:val="00EA0306"/>
    <w:rsid w:val="00EA0CF3"/>
    <w:rsid w:val="00EA0DED"/>
    <w:rsid w:val="00EA24F6"/>
    <w:rsid w:val="00EA3880"/>
    <w:rsid w:val="00EA3EFD"/>
    <w:rsid w:val="00EA69BA"/>
    <w:rsid w:val="00EA69F2"/>
    <w:rsid w:val="00EA6B69"/>
    <w:rsid w:val="00EA7D26"/>
    <w:rsid w:val="00EB13BE"/>
    <w:rsid w:val="00EB2DFA"/>
    <w:rsid w:val="00EB3462"/>
    <w:rsid w:val="00EB3DD9"/>
    <w:rsid w:val="00EB517D"/>
    <w:rsid w:val="00EB66D0"/>
    <w:rsid w:val="00EB6ED7"/>
    <w:rsid w:val="00EB7198"/>
    <w:rsid w:val="00EB7BBC"/>
    <w:rsid w:val="00EC0D13"/>
    <w:rsid w:val="00EC1179"/>
    <w:rsid w:val="00EC2380"/>
    <w:rsid w:val="00EC3A6C"/>
    <w:rsid w:val="00EC3E0F"/>
    <w:rsid w:val="00EC41DF"/>
    <w:rsid w:val="00EC457A"/>
    <w:rsid w:val="00EC4ABF"/>
    <w:rsid w:val="00EC4D63"/>
    <w:rsid w:val="00EC5811"/>
    <w:rsid w:val="00EC766F"/>
    <w:rsid w:val="00ED163C"/>
    <w:rsid w:val="00ED18D4"/>
    <w:rsid w:val="00ED1F46"/>
    <w:rsid w:val="00ED23A8"/>
    <w:rsid w:val="00ED2960"/>
    <w:rsid w:val="00ED3B04"/>
    <w:rsid w:val="00ED53AB"/>
    <w:rsid w:val="00ED64E7"/>
    <w:rsid w:val="00ED6B6D"/>
    <w:rsid w:val="00EE16ED"/>
    <w:rsid w:val="00EE206C"/>
    <w:rsid w:val="00EE27F5"/>
    <w:rsid w:val="00EE3055"/>
    <w:rsid w:val="00EE3865"/>
    <w:rsid w:val="00EE3E49"/>
    <w:rsid w:val="00EE526D"/>
    <w:rsid w:val="00EE608B"/>
    <w:rsid w:val="00EE60E5"/>
    <w:rsid w:val="00EE6384"/>
    <w:rsid w:val="00EE6A31"/>
    <w:rsid w:val="00EE7F30"/>
    <w:rsid w:val="00EE7FBD"/>
    <w:rsid w:val="00EF13D9"/>
    <w:rsid w:val="00EF1945"/>
    <w:rsid w:val="00EF286A"/>
    <w:rsid w:val="00EF3F36"/>
    <w:rsid w:val="00EF441D"/>
    <w:rsid w:val="00EF5E01"/>
    <w:rsid w:val="00EF639F"/>
    <w:rsid w:val="00EF78AE"/>
    <w:rsid w:val="00F00D3C"/>
    <w:rsid w:val="00F01A4B"/>
    <w:rsid w:val="00F0292E"/>
    <w:rsid w:val="00F04CA9"/>
    <w:rsid w:val="00F04F36"/>
    <w:rsid w:val="00F04FB9"/>
    <w:rsid w:val="00F05035"/>
    <w:rsid w:val="00F05089"/>
    <w:rsid w:val="00F05D3B"/>
    <w:rsid w:val="00F06B35"/>
    <w:rsid w:val="00F06F96"/>
    <w:rsid w:val="00F072BD"/>
    <w:rsid w:val="00F07BFB"/>
    <w:rsid w:val="00F07E4B"/>
    <w:rsid w:val="00F101EA"/>
    <w:rsid w:val="00F104AF"/>
    <w:rsid w:val="00F10C90"/>
    <w:rsid w:val="00F12DEA"/>
    <w:rsid w:val="00F1531E"/>
    <w:rsid w:val="00F158F0"/>
    <w:rsid w:val="00F17E82"/>
    <w:rsid w:val="00F2026E"/>
    <w:rsid w:val="00F219FE"/>
    <w:rsid w:val="00F22A9A"/>
    <w:rsid w:val="00F22F8A"/>
    <w:rsid w:val="00F231CD"/>
    <w:rsid w:val="00F233C6"/>
    <w:rsid w:val="00F233D5"/>
    <w:rsid w:val="00F23D9B"/>
    <w:rsid w:val="00F242EE"/>
    <w:rsid w:val="00F25AAC"/>
    <w:rsid w:val="00F264AE"/>
    <w:rsid w:val="00F268D8"/>
    <w:rsid w:val="00F26D9B"/>
    <w:rsid w:val="00F27B93"/>
    <w:rsid w:val="00F27E61"/>
    <w:rsid w:val="00F27FA0"/>
    <w:rsid w:val="00F30BAC"/>
    <w:rsid w:val="00F30EB0"/>
    <w:rsid w:val="00F31AC8"/>
    <w:rsid w:val="00F33B6F"/>
    <w:rsid w:val="00F344E3"/>
    <w:rsid w:val="00F35831"/>
    <w:rsid w:val="00F35FE2"/>
    <w:rsid w:val="00F3657E"/>
    <w:rsid w:val="00F37DE0"/>
    <w:rsid w:val="00F40108"/>
    <w:rsid w:val="00F404FA"/>
    <w:rsid w:val="00F41235"/>
    <w:rsid w:val="00F42A0E"/>
    <w:rsid w:val="00F44616"/>
    <w:rsid w:val="00F47707"/>
    <w:rsid w:val="00F50F56"/>
    <w:rsid w:val="00F51920"/>
    <w:rsid w:val="00F519EC"/>
    <w:rsid w:val="00F5227B"/>
    <w:rsid w:val="00F537D7"/>
    <w:rsid w:val="00F53E94"/>
    <w:rsid w:val="00F549E7"/>
    <w:rsid w:val="00F54C74"/>
    <w:rsid w:val="00F553F2"/>
    <w:rsid w:val="00F55D43"/>
    <w:rsid w:val="00F55E8E"/>
    <w:rsid w:val="00F56232"/>
    <w:rsid w:val="00F5719C"/>
    <w:rsid w:val="00F57858"/>
    <w:rsid w:val="00F60169"/>
    <w:rsid w:val="00F606FB"/>
    <w:rsid w:val="00F60978"/>
    <w:rsid w:val="00F609C6"/>
    <w:rsid w:val="00F610C0"/>
    <w:rsid w:val="00F61408"/>
    <w:rsid w:val="00F61AFF"/>
    <w:rsid w:val="00F62A5D"/>
    <w:rsid w:val="00F638CC"/>
    <w:rsid w:val="00F6590A"/>
    <w:rsid w:val="00F65B65"/>
    <w:rsid w:val="00F67732"/>
    <w:rsid w:val="00F67DFF"/>
    <w:rsid w:val="00F70242"/>
    <w:rsid w:val="00F70951"/>
    <w:rsid w:val="00F71A6B"/>
    <w:rsid w:val="00F71ABC"/>
    <w:rsid w:val="00F72085"/>
    <w:rsid w:val="00F720DF"/>
    <w:rsid w:val="00F72B0B"/>
    <w:rsid w:val="00F74E24"/>
    <w:rsid w:val="00F77603"/>
    <w:rsid w:val="00F80BAC"/>
    <w:rsid w:val="00F80F3F"/>
    <w:rsid w:val="00F8153F"/>
    <w:rsid w:val="00F8331C"/>
    <w:rsid w:val="00F83364"/>
    <w:rsid w:val="00F8347C"/>
    <w:rsid w:val="00F83924"/>
    <w:rsid w:val="00F83E7F"/>
    <w:rsid w:val="00F85029"/>
    <w:rsid w:val="00F85A26"/>
    <w:rsid w:val="00F866E4"/>
    <w:rsid w:val="00F90037"/>
    <w:rsid w:val="00F9024C"/>
    <w:rsid w:val="00F905D1"/>
    <w:rsid w:val="00F9314A"/>
    <w:rsid w:val="00F933EE"/>
    <w:rsid w:val="00F94A8A"/>
    <w:rsid w:val="00F95CC7"/>
    <w:rsid w:val="00F95E75"/>
    <w:rsid w:val="00F96B40"/>
    <w:rsid w:val="00FA0A9E"/>
    <w:rsid w:val="00FA1081"/>
    <w:rsid w:val="00FA165B"/>
    <w:rsid w:val="00FA18A9"/>
    <w:rsid w:val="00FA21C1"/>
    <w:rsid w:val="00FA3B54"/>
    <w:rsid w:val="00FA4148"/>
    <w:rsid w:val="00FA4761"/>
    <w:rsid w:val="00FA73C8"/>
    <w:rsid w:val="00FA7906"/>
    <w:rsid w:val="00FB198A"/>
    <w:rsid w:val="00FB1E6E"/>
    <w:rsid w:val="00FB2095"/>
    <w:rsid w:val="00FB2D58"/>
    <w:rsid w:val="00FB30F0"/>
    <w:rsid w:val="00FB31BF"/>
    <w:rsid w:val="00FB3F78"/>
    <w:rsid w:val="00FB4010"/>
    <w:rsid w:val="00FB63C7"/>
    <w:rsid w:val="00FB7C6D"/>
    <w:rsid w:val="00FC036C"/>
    <w:rsid w:val="00FC1DCA"/>
    <w:rsid w:val="00FC3DA7"/>
    <w:rsid w:val="00FC5538"/>
    <w:rsid w:val="00FD0F30"/>
    <w:rsid w:val="00FD1E2E"/>
    <w:rsid w:val="00FD1FCD"/>
    <w:rsid w:val="00FD274C"/>
    <w:rsid w:val="00FD2B08"/>
    <w:rsid w:val="00FD2C53"/>
    <w:rsid w:val="00FD3AF2"/>
    <w:rsid w:val="00FD49E6"/>
    <w:rsid w:val="00FD4AA9"/>
    <w:rsid w:val="00FD4E05"/>
    <w:rsid w:val="00FD52C2"/>
    <w:rsid w:val="00FD702D"/>
    <w:rsid w:val="00FD7832"/>
    <w:rsid w:val="00FD7F1D"/>
    <w:rsid w:val="00FE02CF"/>
    <w:rsid w:val="00FE1486"/>
    <w:rsid w:val="00FE3630"/>
    <w:rsid w:val="00FE4DE2"/>
    <w:rsid w:val="00FE4F6A"/>
    <w:rsid w:val="00FE54F1"/>
    <w:rsid w:val="00FE5B5B"/>
    <w:rsid w:val="00FE69E2"/>
    <w:rsid w:val="00FE6C9A"/>
    <w:rsid w:val="00FE6E69"/>
    <w:rsid w:val="00FE6F92"/>
    <w:rsid w:val="00FF0B11"/>
    <w:rsid w:val="00FF142B"/>
    <w:rsid w:val="00FF1888"/>
    <w:rsid w:val="00FF1FE0"/>
    <w:rsid w:val="00FF2BC7"/>
    <w:rsid w:val="00FF45F2"/>
    <w:rsid w:val="00FF469D"/>
    <w:rsid w:val="00FF5D1F"/>
    <w:rsid w:val="00FF6BE3"/>
    <w:rsid w:val="00FF7A7C"/>
    <w:rsid w:val="00FF7C17"/>
  </w:rsids>
  <m:mathPr>
    <m:mathFont m:val="Cambria Math"/>
    <m:brkBin m:val="before"/>
    <m:brkBinSub m:val="--"/>
    <m:smallFrac m:val="0"/>
    <m:dispDef/>
    <m:lMargin m:val="0"/>
    <m:rMargin m:val="0"/>
    <m:defJc m:val="centerGroup"/>
    <m:wrapIndent m:val="1440"/>
    <m:intLim m:val="subSup"/>
    <m:naryLim m:val="undOvr"/>
  </m:mathPr>
  <w:themeFontLang w:val="ro-RO"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95BFD"/>
  <w15:docId w15:val="{DF74C084-5AF6-47FA-BCF9-21C1356A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o-RO" w:eastAsia="ro-RO" w:bidi="bn-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76" w:lineRule="auto"/>
      <w:ind w:left="418" w:hanging="418"/>
      <w:jc w:val="both"/>
    </w:pPr>
    <w:rPr>
      <w:noProof/>
      <w:sz w:val="24"/>
      <w:szCs w:val="24"/>
      <w:lang w:eastAsia="en-US" w:bidi="ar-SA"/>
    </w:rPr>
  </w:style>
  <w:style w:type="paragraph" w:styleId="Heading1">
    <w:name w:val="heading 1"/>
    <w:basedOn w:val="Normal"/>
    <w:next w:val="Normal"/>
    <w:link w:val="Heading1Char"/>
    <w:qFormat/>
    <w:rsid w:val="003E2876"/>
    <w:pPr>
      <w:widowControl w:val="0"/>
      <w:numPr>
        <w:numId w:val="53"/>
      </w:numPr>
      <w:suppressAutoHyphens/>
      <w:spacing w:before="60" w:line="240" w:lineRule="auto"/>
      <w:ind w:left="0" w:firstLine="0"/>
      <w:outlineLvl w:val="0"/>
    </w:pPr>
    <w:rPr>
      <w:rFonts w:ascii="Arial" w:eastAsia="Times New Roman" w:hAnsi="Arial" w:cs="Arial"/>
      <w:b/>
    </w:rPr>
  </w:style>
  <w:style w:type="paragraph" w:styleId="Heading2">
    <w:name w:val="heading 2"/>
    <w:basedOn w:val="Normal"/>
    <w:next w:val="Normal"/>
    <w:link w:val="Heading2Char"/>
    <w:qFormat/>
    <w:rsid w:val="003E2876"/>
    <w:pPr>
      <w:numPr>
        <w:ilvl w:val="1"/>
        <w:numId w:val="53"/>
      </w:numPr>
      <w:spacing w:before="60" w:line="240" w:lineRule="auto"/>
      <w:ind w:left="0" w:firstLine="0"/>
      <w:outlineLvl w:val="1"/>
    </w:pPr>
    <w:rPr>
      <w:rFonts w:ascii="Arial" w:eastAsia="Times New Roman" w:hAnsi="Arial"/>
    </w:rPr>
  </w:style>
  <w:style w:type="paragraph" w:styleId="Heading3">
    <w:name w:val="heading 3"/>
    <w:basedOn w:val="Normal"/>
    <w:next w:val="Normal"/>
    <w:link w:val="Heading3Char"/>
    <w:qFormat/>
    <w:rsid w:val="003E2876"/>
    <w:pPr>
      <w:widowControl w:val="0"/>
      <w:numPr>
        <w:ilvl w:val="2"/>
        <w:numId w:val="53"/>
      </w:numPr>
      <w:suppressAutoHyphens/>
      <w:spacing w:before="60" w:line="240" w:lineRule="auto"/>
      <w:ind w:left="0" w:firstLine="0"/>
      <w:outlineLvl w:val="2"/>
    </w:pPr>
    <w:rPr>
      <w:rFonts w:ascii="Arial" w:eastAsia="Times New Roman" w:hAnsi="Arial"/>
    </w:rPr>
  </w:style>
  <w:style w:type="paragraph" w:styleId="Heading4">
    <w:name w:val="heading 4"/>
    <w:basedOn w:val="Normal"/>
    <w:next w:val="Normal"/>
    <w:link w:val="Heading4Char"/>
    <w:qFormat/>
    <w:rsid w:val="003E2876"/>
    <w:pPr>
      <w:widowControl w:val="0"/>
      <w:numPr>
        <w:ilvl w:val="3"/>
        <w:numId w:val="53"/>
      </w:numPr>
      <w:spacing w:before="60" w:line="240" w:lineRule="auto"/>
      <w:ind w:left="0" w:firstLine="0"/>
      <w:outlineLvl w:val="3"/>
    </w:pPr>
    <w:rPr>
      <w:rFonts w:ascii="Arial" w:eastAsia="Times New Roman" w:hAnsi="Arial"/>
    </w:rPr>
  </w:style>
  <w:style w:type="paragraph" w:styleId="Heading5">
    <w:name w:val="heading 5"/>
    <w:basedOn w:val="ListParagraph"/>
    <w:next w:val="Normal"/>
    <w:link w:val="Heading5Char"/>
    <w:qFormat/>
    <w:rsid w:val="00B3280F"/>
    <w:pPr>
      <w:numPr>
        <w:numId w:val="122"/>
      </w:numPr>
      <w:ind w:left="180"/>
      <w:outlineLvl w:val="4"/>
    </w:pPr>
    <w:rPr>
      <w:b/>
      <w:bCs/>
      <w:noProof w:val="0"/>
      <w:color w:val="000000"/>
    </w:rPr>
  </w:style>
  <w:style w:type="paragraph" w:styleId="Heading6">
    <w:name w:val="heading 6"/>
    <w:basedOn w:val="Normal"/>
    <w:next w:val="Normal"/>
    <w:link w:val="Heading6Char"/>
    <w:qFormat/>
    <w:rsid w:val="003E2876"/>
    <w:pPr>
      <w:widowControl w:val="0"/>
      <w:numPr>
        <w:ilvl w:val="5"/>
        <w:numId w:val="55"/>
      </w:numPr>
      <w:suppressAutoHyphens/>
      <w:spacing w:before="60" w:line="240" w:lineRule="auto"/>
      <w:ind w:left="0" w:firstLine="794"/>
      <w:outlineLvl w:val="5"/>
    </w:pPr>
    <w:rPr>
      <w:rFonts w:ascii="Arial" w:eastAsia="Times New Roman" w:hAnsi="Arial"/>
    </w:rPr>
  </w:style>
  <w:style w:type="paragraph" w:styleId="Heading7">
    <w:name w:val="heading 7"/>
    <w:basedOn w:val="Normal"/>
    <w:next w:val="Normal"/>
    <w:link w:val="Heading7Char"/>
    <w:qFormat/>
    <w:rsid w:val="003E2876"/>
    <w:pPr>
      <w:widowControl w:val="0"/>
      <w:numPr>
        <w:ilvl w:val="6"/>
        <w:numId w:val="53"/>
      </w:numPr>
      <w:suppressAutoHyphens/>
      <w:spacing w:before="60" w:line="240" w:lineRule="auto"/>
      <w:ind w:left="1248" w:hanging="454"/>
      <w:outlineLvl w:val="6"/>
    </w:pPr>
    <w:rPr>
      <w:rFonts w:ascii="Arial" w:eastAsia="Times New Roman" w:hAnsi="Arial"/>
    </w:rPr>
  </w:style>
  <w:style w:type="paragraph" w:styleId="Heading8">
    <w:name w:val="heading 8"/>
    <w:basedOn w:val="Normal"/>
    <w:next w:val="Normal"/>
    <w:link w:val="Heading8Char"/>
    <w:qFormat/>
    <w:rsid w:val="003E2876"/>
    <w:pPr>
      <w:widowControl w:val="0"/>
      <w:numPr>
        <w:numId w:val="56"/>
      </w:numPr>
      <w:suppressAutoHyphens/>
      <w:spacing w:before="60" w:line="240" w:lineRule="auto"/>
      <w:ind w:left="0" w:firstLine="839"/>
      <w:outlineLvl w:val="7"/>
    </w:pPr>
    <w:rPr>
      <w:rFonts w:ascii="Arial" w:eastAsia="Times New Roman" w:hAnsi="Arial"/>
    </w:rPr>
  </w:style>
  <w:style w:type="paragraph" w:styleId="Heading9">
    <w:name w:val="heading 9"/>
    <w:basedOn w:val="Normal"/>
    <w:next w:val="Normal"/>
    <w:link w:val="Heading9Char"/>
    <w:qFormat/>
    <w:rsid w:val="003E2876"/>
    <w:pPr>
      <w:widowControl w:val="0"/>
      <w:numPr>
        <w:numId w:val="57"/>
      </w:numPr>
      <w:spacing w:line="240" w:lineRule="auto"/>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384"/>
    <w:pPr>
      <w:ind w:left="720"/>
      <w:contextualSpacing/>
    </w:pPr>
  </w:style>
  <w:style w:type="paragraph" w:styleId="FootnoteText">
    <w:name w:val="footnote text"/>
    <w:basedOn w:val="Normal"/>
    <w:link w:val="FootnoteTextChar"/>
    <w:uiPriority w:val="99"/>
    <w:unhideWhenUsed/>
    <w:rsid w:val="009A7EB7"/>
    <w:pPr>
      <w:spacing w:line="240" w:lineRule="auto"/>
    </w:pPr>
    <w:rPr>
      <w:sz w:val="20"/>
      <w:szCs w:val="20"/>
    </w:rPr>
  </w:style>
  <w:style w:type="character" w:customStyle="1" w:styleId="FootnoteTextChar">
    <w:name w:val="Footnote Text Char"/>
    <w:link w:val="FootnoteText"/>
    <w:uiPriority w:val="99"/>
    <w:rsid w:val="009A7EB7"/>
    <w:rPr>
      <w:noProof/>
      <w:sz w:val="20"/>
      <w:szCs w:val="20"/>
    </w:rPr>
  </w:style>
  <w:style w:type="character" w:styleId="FootnoteReference">
    <w:name w:val="footnote reference"/>
    <w:uiPriority w:val="99"/>
    <w:semiHidden/>
    <w:unhideWhenUsed/>
    <w:rsid w:val="009A7EB7"/>
    <w:rPr>
      <w:vertAlign w:val="superscript"/>
    </w:rPr>
  </w:style>
  <w:style w:type="character" w:styleId="CommentReference">
    <w:name w:val="annotation reference"/>
    <w:uiPriority w:val="99"/>
    <w:semiHidden/>
    <w:unhideWhenUsed/>
    <w:rsid w:val="00CE7D2F"/>
    <w:rPr>
      <w:sz w:val="16"/>
      <w:szCs w:val="16"/>
    </w:rPr>
  </w:style>
  <w:style w:type="paragraph" w:styleId="CommentText">
    <w:name w:val="annotation text"/>
    <w:basedOn w:val="Normal"/>
    <w:link w:val="CommentTextChar"/>
    <w:uiPriority w:val="99"/>
    <w:unhideWhenUsed/>
    <w:rsid w:val="007D072A"/>
    <w:pPr>
      <w:spacing w:line="240" w:lineRule="auto"/>
    </w:pPr>
    <w:rPr>
      <w:sz w:val="20"/>
      <w:szCs w:val="20"/>
    </w:rPr>
  </w:style>
  <w:style w:type="character" w:customStyle="1" w:styleId="CommentTextChar">
    <w:name w:val="Comment Text Char"/>
    <w:link w:val="CommentText"/>
    <w:uiPriority w:val="99"/>
    <w:rsid w:val="00CE7D2F"/>
    <w:rPr>
      <w:noProof/>
      <w:sz w:val="20"/>
      <w:szCs w:val="20"/>
    </w:rPr>
  </w:style>
  <w:style w:type="paragraph" w:styleId="CommentSubject">
    <w:name w:val="annotation subject"/>
    <w:basedOn w:val="CommentText"/>
    <w:next w:val="CommentText"/>
    <w:link w:val="CommentSubjectChar"/>
    <w:uiPriority w:val="99"/>
    <w:semiHidden/>
    <w:unhideWhenUsed/>
    <w:rsid w:val="00CE7D2F"/>
    <w:rPr>
      <w:b/>
      <w:bCs/>
    </w:rPr>
  </w:style>
  <w:style w:type="character" w:customStyle="1" w:styleId="CommentSubjectChar">
    <w:name w:val="Comment Subject Char"/>
    <w:link w:val="CommentSubject"/>
    <w:uiPriority w:val="99"/>
    <w:semiHidden/>
    <w:rsid w:val="00CE7D2F"/>
    <w:rPr>
      <w:b/>
      <w:bCs/>
      <w:noProof/>
      <w:sz w:val="20"/>
      <w:szCs w:val="20"/>
    </w:rPr>
  </w:style>
  <w:style w:type="paragraph" w:styleId="BalloonText">
    <w:name w:val="Balloon Text"/>
    <w:basedOn w:val="Normal"/>
    <w:link w:val="BalloonTextChar"/>
    <w:uiPriority w:val="99"/>
    <w:semiHidden/>
    <w:unhideWhenUsed/>
    <w:rsid w:val="00CE7D2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E7D2F"/>
    <w:rPr>
      <w:rFonts w:ascii="Tahoma" w:hAnsi="Tahoma" w:cs="Tahoma"/>
      <w:noProof/>
      <w:sz w:val="16"/>
      <w:szCs w:val="16"/>
    </w:rPr>
  </w:style>
  <w:style w:type="paragraph" w:styleId="Header">
    <w:name w:val="header"/>
    <w:basedOn w:val="Normal"/>
    <w:link w:val="HeaderChar"/>
    <w:uiPriority w:val="99"/>
    <w:unhideWhenUsed/>
    <w:rsid w:val="00135DF5"/>
    <w:pPr>
      <w:tabs>
        <w:tab w:val="center" w:pos="4680"/>
        <w:tab w:val="right" w:pos="9360"/>
      </w:tabs>
      <w:spacing w:line="240" w:lineRule="auto"/>
    </w:pPr>
  </w:style>
  <w:style w:type="character" w:customStyle="1" w:styleId="HeaderChar">
    <w:name w:val="Header Char"/>
    <w:link w:val="Header"/>
    <w:uiPriority w:val="99"/>
    <w:rsid w:val="00135DF5"/>
    <w:rPr>
      <w:noProof/>
    </w:rPr>
  </w:style>
  <w:style w:type="paragraph" w:styleId="Footer">
    <w:name w:val="footer"/>
    <w:basedOn w:val="Normal"/>
    <w:link w:val="FooterChar"/>
    <w:uiPriority w:val="99"/>
    <w:unhideWhenUsed/>
    <w:rsid w:val="00135DF5"/>
    <w:pPr>
      <w:tabs>
        <w:tab w:val="center" w:pos="4680"/>
        <w:tab w:val="right" w:pos="9360"/>
      </w:tabs>
      <w:spacing w:line="240" w:lineRule="auto"/>
    </w:pPr>
  </w:style>
  <w:style w:type="character" w:customStyle="1" w:styleId="FooterChar">
    <w:name w:val="Footer Char"/>
    <w:link w:val="Footer"/>
    <w:uiPriority w:val="99"/>
    <w:rsid w:val="00135DF5"/>
    <w:rPr>
      <w:noProof/>
    </w:rPr>
  </w:style>
  <w:style w:type="table" w:styleId="TableGrid">
    <w:name w:val="Table Grid"/>
    <w:basedOn w:val="TableNormal"/>
    <w:rsid w:val="003F7DB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778CF"/>
    <w:rPr>
      <w:color w:val="808080"/>
    </w:rPr>
  </w:style>
  <w:style w:type="character" w:customStyle="1" w:styleId="sub">
    <w:name w:val="sub"/>
    <w:basedOn w:val="DefaultParagraphFont"/>
    <w:rsid w:val="00EE60E5"/>
  </w:style>
  <w:style w:type="character" w:customStyle="1" w:styleId="Heading1Char">
    <w:name w:val="Heading 1 Char"/>
    <w:link w:val="Heading1"/>
    <w:rsid w:val="003E2876"/>
    <w:rPr>
      <w:rFonts w:ascii="Arial" w:eastAsia="Times New Roman" w:hAnsi="Arial" w:cs="Arial"/>
      <w:b/>
      <w:noProof/>
    </w:rPr>
  </w:style>
  <w:style w:type="character" w:customStyle="1" w:styleId="Heading2Char">
    <w:name w:val="Heading 2 Char"/>
    <w:link w:val="Heading2"/>
    <w:rsid w:val="003E2876"/>
    <w:rPr>
      <w:rFonts w:ascii="Arial" w:eastAsia="Times New Roman" w:hAnsi="Arial"/>
      <w:noProof/>
    </w:rPr>
  </w:style>
  <w:style w:type="character" w:customStyle="1" w:styleId="Heading3Char">
    <w:name w:val="Heading 3 Char"/>
    <w:link w:val="Heading3"/>
    <w:rsid w:val="003E2876"/>
    <w:rPr>
      <w:rFonts w:ascii="Arial" w:eastAsia="Times New Roman" w:hAnsi="Arial" w:cs="Times New Roman"/>
      <w:noProof/>
    </w:rPr>
  </w:style>
  <w:style w:type="character" w:customStyle="1" w:styleId="Heading4Char">
    <w:name w:val="Heading 4 Char"/>
    <w:link w:val="Heading4"/>
    <w:rsid w:val="003E2876"/>
    <w:rPr>
      <w:rFonts w:ascii="Arial" w:eastAsia="Times New Roman" w:hAnsi="Arial" w:cs="Times New Roman"/>
      <w:noProof/>
    </w:rPr>
  </w:style>
  <w:style w:type="character" w:customStyle="1" w:styleId="Heading5Char">
    <w:name w:val="Heading 5 Char"/>
    <w:link w:val="Heading5"/>
    <w:rsid w:val="00B3280F"/>
    <w:rPr>
      <w:b/>
      <w:bCs/>
      <w:color w:val="000000"/>
      <w:sz w:val="24"/>
      <w:szCs w:val="24"/>
      <w:lang w:eastAsia="en-US" w:bidi="ar-SA"/>
    </w:rPr>
  </w:style>
  <w:style w:type="character" w:customStyle="1" w:styleId="Heading6Char">
    <w:name w:val="Heading 6 Char"/>
    <w:link w:val="Heading6"/>
    <w:rsid w:val="003E2876"/>
    <w:rPr>
      <w:rFonts w:ascii="Arial" w:eastAsia="Times New Roman" w:hAnsi="Arial"/>
      <w:noProof/>
    </w:rPr>
  </w:style>
  <w:style w:type="character" w:customStyle="1" w:styleId="Heading7Char">
    <w:name w:val="Heading 7 Char"/>
    <w:link w:val="Heading7"/>
    <w:rsid w:val="003E2876"/>
    <w:rPr>
      <w:rFonts w:ascii="Arial" w:eastAsia="Times New Roman" w:hAnsi="Arial"/>
      <w:noProof/>
    </w:rPr>
  </w:style>
  <w:style w:type="character" w:customStyle="1" w:styleId="Heading8Char">
    <w:name w:val="Heading 8 Char"/>
    <w:link w:val="Heading8"/>
    <w:rsid w:val="003E2876"/>
    <w:rPr>
      <w:rFonts w:ascii="Arial" w:eastAsia="Times New Roman" w:hAnsi="Arial"/>
      <w:noProof/>
    </w:rPr>
  </w:style>
  <w:style w:type="character" w:customStyle="1" w:styleId="Heading9Char">
    <w:name w:val="Heading 9 Char"/>
    <w:link w:val="Heading9"/>
    <w:rsid w:val="003E2876"/>
    <w:rPr>
      <w:rFonts w:ascii="Arial" w:eastAsia="Times New Roman" w:hAnsi="Arial" w:cs="Arial"/>
      <w:noProof/>
    </w:rPr>
  </w:style>
  <w:style w:type="paragraph" w:styleId="TOC1">
    <w:name w:val="toc 1"/>
    <w:basedOn w:val="Normal"/>
    <w:next w:val="Normal"/>
    <w:autoRedefine/>
    <w:uiPriority w:val="39"/>
    <w:unhideWhenUsed/>
    <w:rsid w:val="003E2876"/>
    <w:pPr>
      <w:suppressAutoHyphens/>
      <w:spacing w:after="100" w:line="240" w:lineRule="auto"/>
    </w:pPr>
    <w:rPr>
      <w:rFonts w:ascii="Arial" w:eastAsia="Times New Roman" w:hAnsi="Arial"/>
    </w:rPr>
  </w:style>
  <w:style w:type="paragraph" w:styleId="TOCHeading">
    <w:name w:val="TOC Heading"/>
    <w:basedOn w:val="Heading1"/>
    <w:next w:val="Normal"/>
    <w:uiPriority w:val="39"/>
    <w:unhideWhenUsed/>
    <w:rsid w:val="003E2876"/>
    <w:pPr>
      <w:keepNext/>
      <w:keepLines/>
      <w:widowControl/>
      <w:numPr>
        <w:numId w:val="0"/>
      </w:numPr>
      <w:tabs>
        <w:tab w:val="left" w:pos="851"/>
      </w:tabs>
      <w:spacing w:before="480"/>
      <w:outlineLvl w:val="9"/>
    </w:pPr>
    <w:rPr>
      <w:rFonts w:ascii="Cambria" w:hAnsi="Cambria" w:cs="Times New Roman"/>
      <w:bCs/>
      <w:szCs w:val="28"/>
    </w:rPr>
  </w:style>
  <w:style w:type="character" w:styleId="Hyperlink">
    <w:name w:val="Hyperlink"/>
    <w:uiPriority w:val="99"/>
    <w:qFormat/>
    <w:rsid w:val="003E2876"/>
    <w:rPr>
      <w:rFonts w:ascii="Arial" w:hAnsi="Arial" w:cs="Times New Roman"/>
      <w:b/>
      <w:color w:val="0000FF"/>
      <w:sz w:val="24"/>
      <w:u w:val="single"/>
      <w:lang w:val="ro-RO"/>
    </w:rPr>
  </w:style>
  <w:style w:type="character" w:styleId="FollowedHyperlink">
    <w:name w:val="FollowedHyperlink"/>
    <w:uiPriority w:val="99"/>
    <w:qFormat/>
    <w:rsid w:val="003E2876"/>
    <w:rPr>
      <w:rFonts w:ascii="Arial" w:hAnsi="Arial" w:cs="Times New Roman"/>
      <w:b/>
      <w:color w:val="FF0000"/>
      <w:sz w:val="24"/>
      <w:u w:val="single"/>
      <w:lang w:val="ro-RO"/>
    </w:rPr>
  </w:style>
  <w:style w:type="paragraph" w:styleId="TOC2">
    <w:name w:val="toc 2"/>
    <w:basedOn w:val="Normal"/>
    <w:next w:val="Normal"/>
    <w:autoRedefine/>
    <w:uiPriority w:val="39"/>
    <w:unhideWhenUsed/>
    <w:rsid w:val="003E2876"/>
    <w:pPr>
      <w:suppressAutoHyphens/>
      <w:spacing w:after="100" w:line="240" w:lineRule="auto"/>
      <w:ind w:left="240"/>
    </w:pPr>
    <w:rPr>
      <w:rFonts w:ascii="Arial" w:eastAsia="Times New Roman" w:hAnsi="Arial"/>
    </w:rPr>
  </w:style>
  <w:style w:type="paragraph" w:styleId="TOC3">
    <w:name w:val="toc 3"/>
    <w:basedOn w:val="Normal"/>
    <w:next w:val="Normal"/>
    <w:autoRedefine/>
    <w:uiPriority w:val="39"/>
    <w:rsid w:val="003E2876"/>
    <w:pPr>
      <w:suppressAutoHyphens/>
      <w:spacing w:after="100" w:line="240" w:lineRule="auto"/>
      <w:ind w:left="480"/>
    </w:pPr>
    <w:rPr>
      <w:rFonts w:ascii="Arial" w:eastAsia="Times New Roman" w:hAnsi="Arial"/>
    </w:rPr>
  </w:style>
  <w:style w:type="character" w:customStyle="1" w:styleId="spar3">
    <w:name w:val="s_par3"/>
    <w:rsid w:val="009A76D1"/>
    <w:rPr>
      <w:rFonts w:ascii="Verdana" w:hAnsi="Verdana" w:hint="default"/>
      <w:b w:val="0"/>
      <w:bCs w:val="0"/>
      <w:vanish w:val="0"/>
      <w:webHidden w:val="0"/>
      <w:color w:val="000000"/>
      <w:sz w:val="20"/>
      <w:szCs w:val="20"/>
      <w:shd w:val="clear" w:color="auto" w:fill="FFFFFF"/>
      <w:specVanish w:val="0"/>
    </w:rPr>
  </w:style>
  <w:style w:type="paragraph" w:styleId="Revision">
    <w:name w:val="Revision"/>
    <w:hidden/>
    <w:uiPriority w:val="99"/>
    <w:semiHidden/>
    <w:rsid w:val="004B7FDD"/>
    <w:pPr>
      <w:spacing w:before="120"/>
      <w:ind w:left="418" w:hanging="418"/>
    </w:pPr>
    <w:rPr>
      <w:noProof/>
      <w:sz w:val="24"/>
      <w:szCs w:val="24"/>
      <w:lang w:eastAsia="en-US" w:bidi="ar-SA"/>
    </w:rPr>
  </w:style>
  <w:style w:type="character" w:customStyle="1" w:styleId="slitbdy">
    <w:name w:val="s_lit_bdy"/>
    <w:basedOn w:val="DefaultParagraphFont"/>
    <w:rsid w:val="00A62309"/>
  </w:style>
  <w:style w:type="character" w:customStyle="1" w:styleId="UnresolvedMention1">
    <w:name w:val="Unresolved Mention1"/>
    <w:uiPriority w:val="99"/>
    <w:semiHidden/>
    <w:unhideWhenUsed/>
    <w:rsid w:val="00E53F54"/>
    <w:rPr>
      <w:color w:val="605E5C"/>
      <w:shd w:val="clear" w:color="auto" w:fill="E1DFDD"/>
    </w:rPr>
  </w:style>
  <w:style w:type="character" w:customStyle="1" w:styleId="salnbdy">
    <w:name w:val="s_aln_bdy"/>
    <w:basedOn w:val="DefaultParagraphFont"/>
    <w:rsid w:val="00A90DB5"/>
  </w:style>
  <w:style w:type="character" w:customStyle="1" w:styleId="UnresolvedMention2">
    <w:name w:val="Unresolved Mention2"/>
    <w:uiPriority w:val="99"/>
    <w:semiHidden/>
    <w:unhideWhenUsed/>
    <w:rsid w:val="006E7064"/>
    <w:rPr>
      <w:color w:val="605E5C"/>
      <w:shd w:val="clear" w:color="auto" w:fill="E1DFDD"/>
    </w:rPr>
  </w:style>
  <w:style w:type="paragraph" w:styleId="EndnoteText">
    <w:name w:val="endnote text"/>
    <w:basedOn w:val="Normal"/>
    <w:link w:val="EndnoteTextChar"/>
    <w:uiPriority w:val="99"/>
    <w:semiHidden/>
    <w:unhideWhenUsed/>
    <w:rsid w:val="00E6159B"/>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E6159B"/>
    <w:rPr>
      <w:noProof/>
      <w:lang w:eastAsia="en-US" w:bidi="ar-SA"/>
    </w:rPr>
  </w:style>
  <w:style w:type="character" w:styleId="EndnoteReference">
    <w:name w:val="endnote reference"/>
    <w:basedOn w:val="DefaultParagraphFont"/>
    <w:uiPriority w:val="99"/>
    <w:semiHidden/>
    <w:unhideWhenUsed/>
    <w:rsid w:val="00E6159B"/>
    <w:rPr>
      <w:vertAlign w:val="superscript"/>
    </w:rPr>
  </w:style>
  <w:style w:type="character" w:customStyle="1" w:styleId="italics">
    <w:name w:val="italics"/>
    <w:basedOn w:val="DefaultParagraphFont"/>
    <w:rsid w:val="00121D63"/>
  </w:style>
  <w:style w:type="character" w:styleId="UnresolvedMention">
    <w:name w:val="Unresolved Mention"/>
    <w:basedOn w:val="DefaultParagraphFont"/>
    <w:uiPriority w:val="99"/>
    <w:semiHidden/>
    <w:unhideWhenUsed/>
    <w:rsid w:val="006623A4"/>
    <w:rPr>
      <w:color w:val="605E5C"/>
      <w:shd w:val="clear" w:color="auto" w:fill="E1DFDD"/>
    </w:rPr>
  </w:style>
  <w:style w:type="table" w:customStyle="1" w:styleId="PlainTable11">
    <w:name w:val="Plain Table 11"/>
    <w:basedOn w:val="TableNormal"/>
    <w:uiPriority w:val="41"/>
    <w:rsid w:val="00555F85"/>
    <w:rPr>
      <w:rFonts w:asciiTheme="minorHAnsi" w:eastAsiaTheme="minorHAnsi" w:hAnsiTheme="minorHAnsi" w:cstheme="minorBidi"/>
      <w:sz w:val="22"/>
      <w:szCs w:val="22"/>
      <w:lang w:val="en-US"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6377">
      <w:bodyDiv w:val="1"/>
      <w:marLeft w:val="0"/>
      <w:marRight w:val="0"/>
      <w:marTop w:val="0"/>
      <w:marBottom w:val="0"/>
      <w:divBdr>
        <w:top w:val="none" w:sz="0" w:space="0" w:color="auto"/>
        <w:left w:val="none" w:sz="0" w:space="0" w:color="auto"/>
        <w:bottom w:val="none" w:sz="0" w:space="0" w:color="auto"/>
        <w:right w:val="none" w:sz="0" w:space="0" w:color="auto"/>
      </w:divBdr>
    </w:div>
    <w:div w:id="183833779">
      <w:bodyDiv w:val="1"/>
      <w:marLeft w:val="0"/>
      <w:marRight w:val="0"/>
      <w:marTop w:val="0"/>
      <w:marBottom w:val="0"/>
      <w:divBdr>
        <w:top w:val="none" w:sz="0" w:space="0" w:color="auto"/>
        <w:left w:val="none" w:sz="0" w:space="0" w:color="auto"/>
        <w:bottom w:val="none" w:sz="0" w:space="0" w:color="auto"/>
        <w:right w:val="none" w:sz="0" w:space="0" w:color="auto"/>
      </w:divBdr>
      <w:divsChild>
        <w:div w:id="1364331104">
          <w:marLeft w:val="0"/>
          <w:marRight w:val="0"/>
          <w:marTop w:val="0"/>
          <w:marBottom w:val="0"/>
          <w:divBdr>
            <w:top w:val="none" w:sz="0" w:space="0" w:color="auto"/>
            <w:left w:val="none" w:sz="0" w:space="0" w:color="auto"/>
            <w:bottom w:val="none" w:sz="0" w:space="0" w:color="auto"/>
            <w:right w:val="none" w:sz="0" w:space="0" w:color="auto"/>
          </w:divBdr>
        </w:div>
      </w:divsChild>
    </w:div>
    <w:div w:id="505949707">
      <w:bodyDiv w:val="1"/>
      <w:marLeft w:val="0"/>
      <w:marRight w:val="0"/>
      <w:marTop w:val="0"/>
      <w:marBottom w:val="0"/>
      <w:divBdr>
        <w:top w:val="none" w:sz="0" w:space="0" w:color="auto"/>
        <w:left w:val="none" w:sz="0" w:space="0" w:color="auto"/>
        <w:bottom w:val="none" w:sz="0" w:space="0" w:color="auto"/>
        <w:right w:val="none" w:sz="0" w:space="0" w:color="auto"/>
      </w:divBdr>
    </w:div>
    <w:div w:id="800684260">
      <w:bodyDiv w:val="1"/>
      <w:marLeft w:val="0"/>
      <w:marRight w:val="0"/>
      <w:marTop w:val="0"/>
      <w:marBottom w:val="0"/>
      <w:divBdr>
        <w:top w:val="none" w:sz="0" w:space="0" w:color="auto"/>
        <w:left w:val="none" w:sz="0" w:space="0" w:color="auto"/>
        <w:bottom w:val="none" w:sz="0" w:space="0" w:color="auto"/>
        <w:right w:val="none" w:sz="0" w:space="0" w:color="auto"/>
      </w:divBdr>
      <w:divsChild>
        <w:div w:id="1338383551">
          <w:marLeft w:val="0"/>
          <w:marRight w:val="0"/>
          <w:marTop w:val="0"/>
          <w:marBottom w:val="0"/>
          <w:divBdr>
            <w:top w:val="none" w:sz="0" w:space="0" w:color="auto"/>
            <w:left w:val="none" w:sz="0" w:space="0" w:color="auto"/>
            <w:bottom w:val="none" w:sz="0" w:space="0" w:color="auto"/>
            <w:right w:val="none" w:sz="0" w:space="0" w:color="auto"/>
          </w:divBdr>
          <w:divsChild>
            <w:div w:id="186214502">
              <w:marLeft w:val="0"/>
              <w:marRight w:val="0"/>
              <w:marTop w:val="120"/>
              <w:marBottom w:val="0"/>
              <w:divBdr>
                <w:top w:val="none" w:sz="0" w:space="0" w:color="auto"/>
                <w:left w:val="none" w:sz="0" w:space="0" w:color="auto"/>
                <w:bottom w:val="none" w:sz="0" w:space="0" w:color="auto"/>
                <w:right w:val="none" w:sz="0" w:space="0" w:color="auto"/>
              </w:divBdr>
            </w:div>
            <w:div w:id="1144660036">
              <w:marLeft w:val="0"/>
              <w:marRight w:val="0"/>
              <w:marTop w:val="0"/>
              <w:marBottom w:val="0"/>
              <w:divBdr>
                <w:top w:val="none" w:sz="0" w:space="0" w:color="auto"/>
                <w:left w:val="none" w:sz="0" w:space="0" w:color="auto"/>
                <w:bottom w:val="none" w:sz="0" w:space="0" w:color="auto"/>
                <w:right w:val="none" w:sz="0" w:space="0" w:color="auto"/>
              </w:divBdr>
            </w:div>
          </w:divsChild>
        </w:div>
        <w:div w:id="2104184784">
          <w:marLeft w:val="0"/>
          <w:marRight w:val="0"/>
          <w:marTop w:val="0"/>
          <w:marBottom w:val="0"/>
          <w:divBdr>
            <w:top w:val="none" w:sz="0" w:space="0" w:color="auto"/>
            <w:left w:val="none" w:sz="0" w:space="0" w:color="auto"/>
            <w:bottom w:val="none" w:sz="0" w:space="0" w:color="auto"/>
            <w:right w:val="none" w:sz="0" w:space="0" w:color="auto"/>
          </w:divBdr>
          <w:divsChild>
            <w:div w:id="1221936366">
              <w:marLeft w:val="0"/>
              <w:marRight w:val="0"/>
              <w:marTop w:val="120"/>
              <w:marBottom w:val="0"/>
              <w:divBdr>
                <w:top w:val="none" w:sz="0" w:space="0" w:color="auto"/>
                <w:left w:val="none" w:sz="0" w:space="0" w:color="auto"/>
                <w:bottom w:val="none" w:sz="0" w:space="0" w:color="auto"/>
                <w:right w:val="none" w:sz="0" w:space="0" w:color="auto"/>
              </w:divBdr>
            </w:div>
            <w:div w:id="1377507373">
              <w:marLeft w:val="0"/>
              <w:marRight w:val="0"/>
              <w:marTop w:val="0"/>
              <w:marBottom w:val="0"/>
              <w:divBdr>
                <w:top w:val="none" w:sz="0" w:space="0" w:color="auto"/>
                <w:left w:val="none" w:sz="0" w:space="0" w:color="auto"/>
                <w:bottom w:val="none" w:sz="0" w:space="0" w:color="auto"/>
                <w:right w:val="none" w:sz="0" w:space="0" w:color="auto"/>
              </w:divBdr>
              <w:divsChild>
                <w:div w:id="511259384">
                  <w:marLeft w:val="0"/>
                  <w:marRight w:val="0"/>
                  <w:marTop w:val="0"/>
                  <w:marBottom w:val="0"/>
                  <w:divBdr>
                    <w:top w:val="none" w:sz="0" w:space="0" w:color="auto"/>
                    <w:left w:val="none" w:sz="0" w:space="0" w:color="auto"/>
                    <w:bottom w:val="none" w:sz="0" w:space="0" w:color="auto"/>
                    <w:right w:val="none" w:sz="0" w:space="0" w:color="auto"/>
                  </w:divBdr>
                  <w:divsChild>
                    <w:div w:id="1745180982">
                      <w:marLeft w:val="0"/>
                      <w:marRight w:val="0"/>
                      <w:marTop w:val="120"/>
                      <w:marBottom w:val="0"/>
                      <w:divBdr>
                        <w:top w:val="none" w:sz="0" w:space="0" w:color="auto"/>
                        <w:left w:val="none" w:sz="0" w:space="0" w:color="auto"/>
                        <w:bottom w:val="none" w:sz="0" w:space="0" w:color="auto"/>
                        <w:right w:val="none" w:sz="0" w:space="0" w:color="auto"/>
                      </w:divBdr>
                    </w:div>
                    <w:div w:id="482477154">
                      <w:marLeft w:val="0"/>
                      <w:marRight w:val="0"/>
                      <w:marTop w:val="0"/>
                      <w:marBottom w:val="0"/>
                      <w:divBdr>
                        <w:top w:val="none" w:sz="0" w:space="0" w:color="auto"/>
                        <w:left w:val="none" w:sz="0" w:space="0" w:color="auto"/>
                        <w:bottom w:val="none" w:sz="0" w:space="0" w:color="auto"/>
                        <w:right w:val="none" w:sz="0" w:space="0" w:color="auto"/>
                      </w:divBdr>
                    </w:div>
                  </w:divsChild>
                </w:div>
                <w:div w:id="394091899">
                  <w:marLeft w:val="0"/>
                  <w:marRight w:val="0"/>
                  <w:marTop w:val="0"/>
                  <w:marBottom w:val="0"/>
                  <w:divBdr>
                    <w:top w:val="none" w:sz="0" w:space="0" w:color="auto"/>
                    <w:left w:val="none" w:sz="0" w:space="0" w:color="auto"/>
                    <w:bottom w:val="none" w:sz="0" w:space="0" w:color="auto"/>
                    <w:right w:val="none" w:sz="0" w:space="0" w:color="auto"/>
                  </w:divBdr>
                  <w:divsChild>
                    <w:div w:id="1555235182">
                      <w:marLeft w:val="0"/>
                      <w:marRight w:val="0"/>
                      <w:marTop w:val="120"/>
                      <w:marBottom w:val="0"/>
                      <w:divBdr>
                        <w:top w:val="none" w:sz="0" w:space="0" w:color="auto"/>
                        <w:left w:val="none" w:sz="0" w:space="0" w:color="auto"/>
                        <w:bottom w:val="none" w:sz="0" w:space="0" w:color="auto"/>
                        <w:right w:val="none" w:sz="0" w:space="0" w:color="auto"/>
                      </w:divBdr>
                    </w:div>
                    <w:div w:id="17000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9489">
          <w:marLeft w:val="0"/>
          <w:marRight w:val="0"/>
          <w:marTop w:val="0"/>
          <w:marBottom w:val="0"/>
          <w:divBdr>
            <w:top w:val="none" w:sz="0" w:space="0" w:color="auto"/>
            <w:left w:val="none" w:sz="0" w:space="0" w:color="auto"/>
            <w:bottom w:val="none" w:sz="0" w:space="0" w:color="auto"/>
            <w:right w:val="none" w:sz="0" w:space="0" w:color="auto"/>
          </w:divBdr>
          <w:divsChild>
            <w:div w:id="259264344">
              <w:marLeft w:val="0"/>
              <w:marRight w:val="0"/>
              <w:marTop w:val="120"/>
              <w:marBottom w:val="0"/>
              <w:divBdr>
                <w:top w:val="none" w:sz="0" w:space="0" w:color="auto"/>
                <w:left w:val="none" w:sz="0" w:space="0" w:color="auto"/>
                <w:bottom w:val="none" w:sz="0" w:space="0" w:color="auto"/>
                <w:right w:val="none" w:sz="0" w:space="0" w:color="auto"/>
              </w:divBdr>
            </w:div>
            <w:div w:id="507332099">
              <w:marLeft w:val="0"/>
              <w:marRight w:val="0"/>
              <w:marTop w:val="0"/>
              <w:marBottom w:val="0"/>
              <w:divBdr>
                <w:top w:val="none" w:sz="0" w:space="0" w:color="auto"/>
                <w:left w:val="none" w:sz="0" w:space="0" w:color="auto"/>
                <w:bottom w:val="none" w:sz="0" w:space="0" w:color="auto"/>
                <w:right w:val="none" w:sz="0" w:space="0" w:color="auto"/>
              </w:divBdr>
            </w:div>
          </w:divsChild>
        </w:div>
        <w:div w:id="1520969462">
          <w:marLeft w:val="0"/>
          <w:marRight w:val="0"/>
          <w:marTop w:val="0"/>
          <w:marBottom w:val="0"/>
          <w:divBdr>
            <w:top w:val="none" w:sz="0" w:space="0" w:color="auto"/>
            <w:left w:val="none" w:sz="0" w:space="0" w:color="auto"/>
            <w:bottom w:val="none" w:sz="0" w:space="0" w:color="auto"/>
            <w:right w:val="none" w:sz="0" w:space="0" w:color="auto"/>
          </w:divBdr>
          <w:divsChild>
            <w:div w:id="551497706">
              <w:marLeft w:val="0"/>
              <w:marRight w:val="0"/>
              <w:marTop w:val="120"/>
              <w:marBottom w:val="0"/>
              <w:divBdr>
                <w:top w:val="none" w:sz="0" w:space="0" w:color="auto"/>
                <w:left w:val="none" w:sz="0" w:space="0" w:color="auto"/>
                <w:bottom w:val="none" w:sz="0" w:space="0" w:color="auto"/>
                <w:right w:val="none" w:sz="0" w:space="0" w:color="auto"/>
              </w:divBdr>
            </w:div>
            <w:div w:id="1218543420">
              <w:marLeft w:val="0"/>
              <w:marRight w:val="0"/>
              <w:marTop w:val="0"/>
              <w:marBottom w:val="0"/>
              <w:divBdr>
                <w:top w:val="none" w:sz="0" w:space="0" w:color="auto"/>
                <w:left w:val="none" w:sz="0" w:space="0" w:color="auto"/>
                <w:bottom w:val="none" w:sz="0" w:space="0" w:color="auto"/>
                <w:right w:val="none" w:sz="0" w:space="0" w:color="auto"/>
              </w:divBdr>
            </w:div>
          </w:divsChild>
        </w:div>
        <w:div w:id="2079982264">
          <w:marLeft w:val="0"/>
          <w:marRight w:val="0"/>
          <w:marTop w:val="0"/>
          <w:marBottom w:val="0"/>
          <w:divBdr>
            <w:top w:val="none" w:sz="0" w:space="0" w:color="auto"/>
            <w:left w:val="none" w:sz="0" w:space="0" w:color="auto"/>
            <w:bottom w:val="none" w:sz="0" w:space="0" w:color="auto"/>
            <w:right w:val="none" w:sz="0" w:space="0" w:color="auto"/>
          </w:divBdr>
          <w:divsChild>
            <w:div w:id="887759090">
              <w:marLeft w:val="0"/>
              <w:marRight w:val="0"/>
              <w:marTop w:val="120"/>
              <w:marBottom w:val="0"/>
              <w:divBdr>
                <w:top w:val="none" w:sz="0" w:space="0" w:color="auto"/>
                <w:left w:val="none" w:sz="0" w:space="0" w:color="auto"/>
                <w:bottom w:val="none" w:sz="0" w:space="0" w:color="auto"/>
                <w:right w:val="none" w:sz="0" w:space="0" w:color="auto"/>
              </w:divBdr>
            </w:div>
            <w:div w:id="1913273585">
              <w:marLeft w:val="0"/>
              <w:marRight w:val="0"/>
              <w:marTop w:val="0"/>
              <w:marBottom w:val="0"/>
              <w:divBdr>
                <w:top w:val="none" w:sz="0" w:space="0" w:color="auto"/>
                <w:left w:val="none" w:sz="0" w:space="0" w:color="auto"/>
                <w:bottom w:val="none" w:sz="0" w:space="0" w:color="auto"/>
                <w:right w:val="none" w:sz="0" w:space="0" w:color="auto"/>
              </w:divBdr>
            </w:div>
          </w:divsChild>
        </w:div>
        <w:div w:id="1046682373">
          <w:marLeft w:val="0"/>
          <w:marRight w:val="0"/>
          <w:marTop w:val="0"/>
          <w:marBottom w:val="0"/>
          <w:divBdr>
            <w:top w:val="none" w:sz="0" w:space="0" w:color="auto"/>
            <w:left w:val="none" w:sz="0" w:space="0" w:color="auto"/>
            <w:bottom w:val="none" w:sz="0" w:space="0" w:color="auto"/>
            <w:right w:val="none" w:sz="0" w:space="0" w:color="auto"/>
          </w:divBdr>
          <w:divsChild>
            <w:div w:id="1516529120">
              <w:marLeft w:val="0"/>
              <w:marRight w:val="0"/>
              <w:marTop w:val="120"/>
              <w:marBottom w:val="0"/>
              <w:divBdr>
                <w:top w:val="none" w:sz="0" w:space="0" w:color="auto"/>
                <w:left w:val="none" w:sz="0" w:space="0" w:color="auto"/>
                <w:bottom w:val="none" w:sz="0" w:space="0" w:color="auto"/>
                <w:right w:val="none" w:sz="0" w:space="0" w:color="auto"/>
              </w:divBdr>
            </w:div>
            <w:div w:id="1951280937">
              <w:marLeft w:val="0"/>
              <w:marRight w:val="0"/>
              <w:marTop w:val="0"/>
              <w:marBottom w:val="0"/>
              <w:divBdr>
                <w:top w:val="none" w:sz="0" w:space="0" w:color="auto"/>
                <w:left w:val="none" w:sz="0" w:space="0" w:color="auto"/>
                <w:bottom w:val="none" w:sz="0" w:space="0" w:color="auto"/>
                <w:right w:val="none" w:sz="0" w:space="0" w:color="auto"/>
              </w:divBdr>
            </w:div>
          </w:divsChild>
        </w:div>
        <w:div w:id="1670788717">
          <w:marLeft w:val="0"/>
          <w:marRight w:val="0"/>
          <w:marTop w:val="0"/>
          <w:marBottom w:val="0"/>
          <w:divBdr>
            <w:top w:val="none" w:sz="0" w:space="0" w:color="auto"/>
            <w:left w:val="none" w:sz="0" w:space="0" w:color="auto"/>
            <w:bottom w:val="none" w:sz="0" w:space="0" w:color="auto"/>
            <w:right w:val="none" w:sz="0" w:space="0" w:color="auto"/>
          </w:divBdr>
          <w:divsChild>
            <w:div w:id="320424765">
              <w:marLeft w:val="0"/>
              <w:marRight w:val="0"/>
              <w:marTop w:val="120"/>
              <w:marBottom w:val="0"/>
              <w:divBdr>
                <w:top w:val="none" w:sz="0" w:space="0" w:color="auto"/>
                <w:left w:val="none" w:sz="0" w:space="0" w:color="auto"/>
                <w:bottom w:val="none" w:sz="0" w:space="0" w:color="auto"/>
                <w:right w:val="none" w:sz="0" w:space="0" w:color="auto"/>
              </w:divBdr>
            </w:div>
            <w:div w:id="121122348">
              <w:marLeft w:val="0"/>
              <w:marRight w:val="0"/>
              <w:marTop w:val="0"/>
              <w:marBottom w:val="0"/>
              <w:divBdr>
                <w:top w:val="none" w:sz="0" w:space="0" w:color="auto"/>
                <w:left w:val="none" w:sz="0" w:space="0" w:color="auto"/>
                <w:bottom w:val="none" w:sz="0" w:space="0" w:color="auto"/>
                <w:right w:val="none" w:sz="0" w:space="0" w:color="auto"/>
              </w:divBdr>
            </w:div>
          </w:divsChild>
        </w:div>
        <w:div w:id="308438009">
          <w:marLeft w:val="0"/>
          <w:marRight w:val="0"/>
          <w:marTop w:val="0"/>
          <w:marBottom w:val="0"/>
          <w:divBdr>
            <w:top w:val="none" w:sz="0" w:space="0" w:color="auto"/>
            <w:left w:val="none" w:sz="0" w:space="0" w:color="auto"/>
            <w:bottom w:val="none" w:sz="0" w:space="0" w:color="auto"/>
            <w:right w:val="none" w:sz="0" w:space="0" w:color="auto"/>
          </w:divBdr>
          <w:divsChild>
            <w:div w:id="401486263">
              <w:marLeft w:val="0"/>
              <w:marRight w:val="0"/>
              <w:marTop w:val="120"/>
              <w:marBottom w:val="0"/>
              <w:divBdr>
                <w:top w:val="none" w:sz="0" w:space="0" w:color="auto"/>
                <w:left w:val="none" w:sz="0" w:space="0" w:color="auto"/>
                <w:bottom w:val="none" w:sz="0" w:space="0" w:color="auto"/>
                <w:right w:val="none" w:sz="0" w:space="0" w:color="auto"/>
              </w:divBdr>
            </w:div>
            <w:div w:id="1658873206">
              <w:marLeft w:val="0"/>
              <w:marRight w:val="0"/>
              <w:marTop w:val="0"/>
              <w:marBottom w:val="0"/>
              <w:divBdr>
                <w:top w:val="none" w:sz="0" w:space="0" w:color="auto"/>
                <w:left w:val="none" w:sz="0" w:space="0" w:color="auto"/>
                <w:bottom w:val="none" w:sz="0" w:space="0" w:color="auto"/>
                <w:right w:val="none" w:sz="0" w:space="0" w:color="auto"/>
              </w:divBdr>
            </w:div>
          </w:divsChild>
        </w:div>
        <w:div w:id="1578050785">
          <w:marLeft w:val="0"/>
          <w:marRight w:val="0"/>
          <w:marTop w:val="0"/>
          <w:marBottom w:val="0"/>
          <w:divBdr>
            <w:top w:val="none" w:sz="0" w:space="0" w:color="auto"/>
            <w:left w:val="none" w:sz="0" w:space="0" w:color="auto"/>
            <w:bottom w:val="none" w:sz="0" w:space="0" w:color="auto"/>
            <w:right w:val="none" w:sz="0" w:space="0" w:color="auto"/>
          </w:divBdr>
          <w:divsChild>
            <w:div w:id="1568803283">
              <w:marLeft w:val="0"/>
              <w:marRight w:val="0"/>
              <w:marTop w:val="120"/>
              <w:marBottom w:val="0"/>
              <w:divBdr>
                <w:top w:val="none" w:sz="0" w:space="0" w:color="auto"/>
                <w:left w:val="none" w:sz="0" w:space="0" w:color="auto"/>
                <w:bottom w:val="none" w:sz="0" w:space="0" w:color="auto"/>
                <w:right w:val="none" w:sz="0" w:space="0" w:color="auto"/>
              </w:divBdr>
            </w:div>
            <w:div w:id="1947224158">
              <w:marLeft w:val="0"/>
              <w:marRight w:val="0"/>
              <w:marTop w:val="0"/>
              <w:marBottom w:val="0"/>
              <w:divBdr>
                <w:top w:val="none" w:sz="0" w:space="0" w:color="auto"/>
                <w:left w:val="none" w:sz="0" w:space="0" w:color="auto"/>
                <w:bottom w:val="none" w:sz="0" w:space="0" w:color="auto"/>
                <w:right w:val="none" w:sz="0" w:space="0" w:color="auto"/>
              </w:divBdr>
            </w:div>
          </w:divsChild>
        </w:div>
        <w:div w:id="874924349">
          <w:marLeft w:val="0"/>
          <w:marRight w:val="0"/>
          <w:marTop w:val="0"/>
          <w:marBottom w:val="0"/>
          <w:divBdr>
            <w:top w:val="none" w:sz="0" w:space="0" w:color="auto"/>
            <w:left w:val="none" w:sz="0" w:space="0" w:color="auto"/>
            <w:bottom w:val="none" w:sz="0" w:space="0" w:color="auto"/>
            <w:right w:val="none" w:sz="0" w:space="0" w:color="auto"/>
          </w:divBdr>
          <w:divsChild>
            <w:div w:id="1620184793">
              <w:marLeft w:val="0"/>
              <w:marRight w:val="0"/>
              <w:marTop w:val="120"/>
              <w:marBottom w:val="0"/>
              <w:divBdr>
                <w:top w:val="none" w:sz="0" w:space="0" w:color="auto"/>
                <w:left w:val="none" w:sz="0" w:space="0" w:color="auto"/>
                <w:bottom w:val="none" w:sz="0" w:space="0" w:color="auto"/>
                <w:right w:val="none" w:sz="0" w:space="0" w:color="auto"/>
              </w:divBdr>
            </w:div>
            <w:div w:id="816337056">
              <w:marLeft w:val="0"/>
              <w:marRight w:val="0"/>
              <w:marTop w:val="0"/>
              <w:marBottom w:val="0"/>
              <w:divBdr>
                <w:top w:val="none" w:sz="0" w:space="0" w:color="auto"/>
                <w:left w:val="none" w:sz="0" w:space="0" w:color="auto"/>
                <w:bottom w:val="none" w:sz="0" w:space="0" w:color="auto"/>
                <w:right w:val="none" w:sz="0" w:space="0" w:color="auto"/>
              </w:divBdr>
            </w:div>
          </w:divsChild>
        </w:div>
        <w:div w:id="1466508577">
          <w:marLeft w:val="0"/>
          <w:marRight w:val="0"/>
          <w:marTop w:val="0"/>
          <w:marBottom w:val="0"/>
          <w:divBdr>
            <w:top w:val="none" w:sz="0" w:space="0" w:color="auto"/>
            <w:left w:val="none" w:sz="0" w:space="0" w:color="auto"/>
            <w:bottom w:val="none" w:sz="0" w:space="0" w:color="auto"/>
            <w:right w:val="none" w:sz="0" w:space="0" w:color="auto"/>
          </w:divBdr>
          <w:divsChild>
            <w:div w:id="1160998533">
              <w:marLeft w:val="0"/>
              <w:marRight w:val="0"/>
              <w:marTop w:val="120"/>
              <w:marBottom w:val="0"/>
              <w:divBdr>
                <w:top w:val="none" w:sz="0" w:space="0" w:color="auto"/>
                <w:left w:val="none" w:sz="0" w:space="0" w:color="auto"/>
                <w:bottom w:val="none" w:sz="0" w:space="0" w:color="auto"/>
                <w:right w:val="none" w:sz="0" w:space="0" w:color="auto"/>
              </w:divBdr>
            </w:div>
            <w:div w:id="368379133">
              <w:marLeft w:val="0"/>
              <w:marRight w:val="0"/>
              <w:marTop w:val="0"/>
              <w:marBottom w:val="0"/>
              <w:divBdr>
                <w:top w:val="none" w:sz="0" w:space="0" w:color="auto"/>
                <w:left w:val="none" w:sz="0" w:space="0" w:color="auto"/>
                <w:bottom w:val="none" w:sz="0" w:space="0" w:color="auto"/>
                <w:right w:val="none" w:sz="0" w:space="0" w:color="auto"/>
              </w:divBdr>
            </w:div>
          </w:divsChild>
        </w:div>
        <w:div w:id="1043169227">
          <w:marLeft w:val="0"/>
          <w:marRight w:val="0"/>
          <w:marTop w:val="0"/>
          <w:marBottom w:val="0"/>
          <w:divBdr>
            <w:top w:val="none" w:sz="0" w:space="0" w:color="auto"/>
            <w:left w:val="none" w:sz="0" w:space="0" w:color="auto"/>
            <w:bottom w:val="none" w:sz="0" w:space="0" w:color="auto"/>
            <w:right w:val="none" w:sz="0" w:space="0" w:color="auto"/>
          </w:divBdr>
          <w:divsChild>
            <w:div w:id="1966546284">
              <w:marLeft w:val="0"/>
              <w:marRight w:val="0"/>
              <w:marTop w:val="120"/>
              <w:marBottom w:val="0"/>
              <w:divBdr>
                <w:top w:val="none" w:sz="0" w:space="0" w:color="auto"/>
                <w:left w:val="none" w:sz="0" w:space="0" w:color="auto"/>
                <w:bottom w:val="none" w:sz="0" w:space="0" w:color="auto"/>
                <w:right w:val="none" w:sz="0" w:space="0" w:color="auto"/>
              </w:divBdr>
            </w:div>
            <w:div w:id="1544826975">
              <w:marLeft w:val="0"/>
              <w:marRight w:val="0"/>
              <w:marTop w:val="0"/>
              <w:marBottom w:val="0"/>
              <w:divBdr>
                <w:top w:val="none" w:sz="0" w:space="0" w:color="auto"/>
                <w:left w:val="none" w:sz="0" w:space="0" w:color="auto"/>
                <w:bottom w:val="none" w:sz="0" w:space="0" w:color="auto"/>
                <w:right w:val="none" w:sz="0" w:space="0" w:color="auto"/>
              </w:divBdr>
            </w:div>
          </w:divsChild>
        </w:div>
        <w:div w:id="458691285">
          <w:marLeft w:val="0"/>
          <w:marRight w:val="0"/>
          <w:marTop w:val="0"/>
          <w:marBottom w:val="0"/>
          <w:divBdr>
            <w:top w:val="none" w:sz="0" w:space="0" w:color="auto"/>
            <w:left w:val="none" w:sz="0" w:space="0" w:color="auto"/>
            <w:bottom w:val="none" w:sz="0" w:space="0" w:color="auto"/>
            <w:right w:val="none" w:sz="0" w:space="0" w:color="auto"/>
          </w:divBdr>
          <w:divsChild>
            <w:div w:id="1165901869">
              <w:marLeft w:val="0"/>
              <w:marRight w:val="0"/>
              <w:marTop w:val="120"/>
              <w:marBottom w:val="0"/>
              <w:divBdr>
                <w:top w:val="none" w:sz="0" w:space="0" w:color="auto"/>
                <w:left w:val="none" w:sz="0" w:space="0" w:color="auto"/>
                <w:bottom w:val="none" w:sz="0" w:space="0" w:color="auto"/>
                <w:right w:val="none" w:sz="0" w:space="0" w:color="auto"/>
              </w:divBdr>
            </w:div>
            <w:div w:id="291667244">
              <w:marLeft w:val="0"/>
              <w:marRight w:val="0"/>
              <w:marTop w:val="0"/>
              <w:marBottom w:val="0"/>
              <w:divBdr>
                <w:top w:val="none" w:sz="0" w:space="0" w:color="auto"/>
                <w:left w:val="none" w:sz="0" w:space="0" w:color="auto"/>
                <w:bottom w:val="none" w:sz="0" w:space="0" w:color="auto"/>
                <w:right w:val="none" w:sz="0" w:space="0" w:color="auto"/>
              </w:divBdr>
            </w:div>
          </w:divsChild>
        </w:div>
        <w:div w:id="2135444992">
          <w:marLeft w:val="0"/>
          <w:marRight w:val="0"/>
          <w:marTop w:val="0"/>
          <w:marBottom w:val="0"/>
          <w:divBdr>
            <w:top w:val="none" w:sz="0" w:space="0" w:color="auto"/>
            <w:left w:val="none" w:sz="0" w:space="0" w:color="auto"/>
            <w:bottom w:val="none" w:sz="0" w:space="0" w:color="auto"/>
            <w:right w:val="none" w:sz="0" w:space="0" w:color="auto"/>
          </w:divBdr>
          <w:divsChild>
            <w:div w:id="316154771">
              <w:marLeft w:val="0"/>
              <w:marRight w:val="0"/>
              <w:marTop w:val="120"/>
              <w:marBottom w:val="0"/>
              <w:divBdr>
                <w:top w:val="none" w:sz="0" w:space="0" w:color="auto"/>
                <w:left w:val="none" w:sz="0" w:space="0" w:color="auto"/>
                <w:bottom w:val="none" w:sz="0" w:space="0" w:color="auto"/>
                <w:right w:val="none" w:sz="0" w:space="0" w:color="auto"/>
              </w:divBdr>
            </w:div>
            <w:div w:id="1263028713">
              <w:marLeft w:val="0"/>
              <w:marRight w:val="0"/>
              <w:marTop w:val="0"/>
              <w:marBottom w:val="0"/>
              <w:divBdr>
                <w:top w:val="none" w:sz="0" w:space="0" w:color="auto"/>
                <w:left w:val="none" w:sz="0" w:space="0" w:color="auto"/>
                <w:bottom w:val="none" w:sz="0" w:space="0" w:color="auto"/>
                <w:right w:val="none" w:sz="0" w:space="0" w:color="auto"/>
              </w:divBdr>
            </w:div>
          </w:divsChild>
        </w:div>
        <w:div w:id="2076851615">
          <w:marLeft w:val="0"/>
          <w:marRight w:val="0"/>
          <w:marTop w:val="0"/>
          <w:marBottom w:val="0"/>
          <w:divBdr>
            <w:top w:val="none" w:sz="0" w:space="0" w:color="auto"/>
            <w:left w:val="none" w:sz="0" w:space="0" w:color="auto"/>
            <w:bottom w:val="none" w:sz="0" w:space="0" w:color="auto"/>
            <w:right w:val="none" w:sz="0" w:space="0" w:color="auto"/>
          </w:divBdr>
          <w:divsChild>
            <w:div w:id="42752067">
              <w:marLeft w:val="0"/>
              <w:marRight w:val="0"/>
              <w:marTop w:val="120"/>
              <w:marBottom w:val="0"/>
              <w:divBdr>
                <w:top w:val="none" w:sz="0" w:space="0" w:color="auto"/>
                <w:left w:val="none" w:sz="0" w:space="0" w:color="auto"/>
                <w:bottom w:val="none" w:sz="0" w:space="0" w:color="auto"/>
                <w:right w:val="none" w:sz="0" w:space="0" w:color="auto"/>
              </w:divBdr>
            </w:div>
            <w:div w:id="334845241">
              <w:marLeft w:val="0"/>
              <w:marRight w:val="0"/>
              <w:marTop w:val="0"/>
              <w:marBottom w:val="0"/>
              <w:divBdr>
                <w:top w:val="none" w:sz="0" w:space="0" w:color="auto"/>
                <w:left w:val="none" w:sz="0" w:space="0" w:color="auto"/>
                <w:bottom w:val="none" w:sz="0" w:space="0" w:color="auto"/>
                <w:right w:val="none" w:sz="0" w:space="0" w:color="auto"/>
              </w:divBdr>
            </w:div>
          </w:divsChild>
        </w:div>
        <w:div w:id="144207690">
          <w:marLeft w:val="0"/>
          <w:marRight w:val="0"/>
          <w:marTop w:val="0"/>
          <w:marBottom w:val="0"/>
          <w:divBdr>
            <w:top w:val="none" w:sz="0" w:space="0" w:color="auto"/>
            <w:left w:val="none" w:sz="0" w:space="0" w:color="auto"/>
            <w:bottom w:val="none" w:sz="0" w:space="0" w:color="auto"/>
            <w:right w:val="none" w:sz="0" w:space="0" w:color="auto"/>
          </w:divBdr>
          <w:divsChild>
            <w:div w:id="402528017">
              <w:marLeft w:val="0"/>
              <w:marRight w:val="0"/>
              <w:marTop w:val="120"/>
              <w:marBottom w:val="0"/>
              <w:divBdr>
                <w:top w:val="none" w:sz="0" w:space="0" w:color="auto"/>
                <w:left w:val="none" w:sz="0" w:space="0" w:color="auto"/>
                <w:bottom w:val="none" w:sz="0" w:space="0" w:color="auto"/>
                <w:right w:val="none" w:sz="0" w:space="0" w:color="auto"/>
              </w:divBdr>
            </w:div>
            <w:div w:id="14113338">
              <w:marLeft w:val="0"/>
              <w:marRight w:val="0"/>
              <w:marTop w:val="0"/>
              <w:marBottom w:val="0"/>
              <w:divBdr>
                <w:top w:val="none" w:sz="0" w:space="0" w:color="auto"/>
                <w:left w:val="none" w:sz="0" w:space="0" w:color="auto"/>
                <w:bottom w:val="none" w:sz="0" w:space="0" w:color="auto"/>
                <w:right w:val="none" w:sz="0" w:space="0" w:color="auto"/>
              </w:divBdr>
            </w:div>
          </w:divsChild>
        </w:div>
        <w:div w:id="430393970">
          <w:marLeft w:val="0"/>
          <w:marRight w:val="0"/>
          <w:marTop w:val="0"/>
          <w:marBottom w:val="0"/>
          <w:divBdr>
            <w:top w:val="none" w:sz="0" w:space="0" w:color="auto"/>
            <w:left w:val="none" w:sz="0" w:space="0" w:color="auto"/>
            <w:bottom w:val="none" w:sz="0" w:space="0" w:color="auto"/>
            <w:right w:val="none" w:sz="0" w:space="0" w:color="auto"/>
          </w:divBdr>
          <w:divsChild>
            <w:div w:id="468015816">
              <w:marLeft w:val="0"/>
              <w:marRight w:val="0"/>
              <w:marTop w:val="120"/>
              <w:marBottom w:val="0"/>
              <w:divBdr>
                <w:top w:val="none" w:sz="0" w:space="0" w:color="auto"/>
                <w:left w:val="none" w:sz="0" w:space="0" w:color="auto"/>
                <w:bottom w:val="none" w:sz="0" w:space="0" w:color="auto"/>
                <w:right w:val="none" w:sz="0" w:space="0" w:color="auto"/>
              </w:divBdr>
            </w:div>
            <w:div w:id="1117334411">
              <w:marLeft w:val="0"/>
              <w:marRight w:val="0"/>
              <w:marTop w:val="0"/>
              <w:marBottom w:val="0"/>
              <w:divBdr>
                <w:top w:val="none" w:sz="0" w:space="0" w:color="auto"/>
                <w:left w:val="none" w:sz="0" w:space="0" w:color="auto"/>
                <w:bottom w:val="none" w:sz="0" w:space="0" w:color="auto"/>
                <w:right w:val="none" w:sz="0" w:space="0" w:color="auto"/>
              </w:divBdr>
            </w:div>
          </w:divsChild>
        </w:div>
        <w:div w:id="2062515679">
          <w:marLeft w:val="0"/>
          <w:marRight w:val="0"/>
          <w:marTop w:val="0"/>
          <w:marBottom w:val="0"/>
          <w:divBdr>
            <w:top w:val="none" w:sz="0" w:space="0" w:color="auto"/>
            <w:left w:val="none" w:sz="0" w:space="0" w:color="auto"/>
            <w:bottom w:val="none" w:sz="0" w:space="0" w:color="auto"/>
            <w:right w:val="none" w:sz="0" w:space="0" w:color="auto"/>
          </w:divBdr>
          <w:divsChild>
            <w:div w:id="371346217">
              <w:marLeft w:val="0"/>
              <w:marRight w:val="0"/>
              <w:marTop w:val="120"/>
              <w:marBottom w:val="0"/>
              <w:divBdr>
                <w:top w:val="none" w:sz="0" w:space="0" w:color="auto"/>
                <w:left w:val="none" w:sz="0" w:space="0" w:color="auto"/>
                <w:bottom w:val="none" w:sz="0" w:space="0" w:color="auto"/>
                <w:right w:val="none" w:sz="0" w:space="0" w:color="auto"/>
              </w:divBdr>
            </w:div>
            <w:div w:id="2045641331">
              <w:marLeft w:val="0"/>
              <w:marRight w:val="0"/>
              <w:marTop w:val="0"/>
              <w:marBottom w:val="0"/>
              <w:divBdr>
                <w:top w:val="none" w:sz="0" w:space="0" w:color="auto"/>
                <w:left w:val="none" w:sz="0" w:space="0" w:color="auto"/>
                <w:bottom w:val="none" w:sz="0" w:space="0" w:color="auto"/>
                <w:right w:val="none" w:sz="0" w:space="0" w:color="auto"/>
              </w:divBdr>
            </w:div>
          </w:divsChild>
        </w:div>
        <w:div w:id="1787385667">
          <w:marLeft w:val="0"/>
          <w:marRight w:val="0"/>
          <w:marTop w:val="0"/>
          <w:marBottom w:val="0"/>
          <w:divBdr>
            <w:top w:val="none" w:sz="0" w:space="0" w:color="auto"/>
            <w:left w:val="none" w:sz="0" w:space="0" w:color="auto"/>
            <w:bottom w:val="none" w:sz="0" w:space="0" w:color="auto"/>
            <w:right w:val="none" w:sz="0" w:space="0" w:color="auto"/>
          </w:divBdr>
          <w:divsChild>
            <w:div w:id="2144762287">
              <w:marLeft w:val="0"/>
              <w:marRight w:val="0"/>
              <w:marTop w:val="120"/>
              <w:marBottom w:val="0"/>
              <w:divBdr>
                <w:top w:val="none" w:sz="0" w:space="0" w:color="auto"/>
                <w:left w:val="none" w:sz="0" w:space="0" w:color="auto"/>
                <w:bottom w:val="none" w:sz="0" w:space="0" w:color="auto"/>
                <w:right w:val="none" w:sz="0" w:space="0" w:color="auto"/>
              </w:divBdr>
            </w:div>
            <w:div w:id="1270314081">
              <w:marLeft w:val="0"/>
              <w:marRight w:val="0"/>
              <w:marTop w:val="0"/>
              <w:marBottom w:val="0"/>
              <w:divBdr>
                <w:top w:val="none" w:sz="0" w:space="0" w:color="auto"/>
                <w:left w:val="none" w:sz="0" w:space="0" w:color="auto"/>
                <w:bottom w:val="none" w:sz="0" w:space="0" w:color="auto"/>
                <w:right w:val="none" w:sz="0" w:space="0" w:color="auto"/>
              </w:divBdr>
            </w:div>
          </w:divsChild>
        </w:div>
        <w:div w:id="1898785132">
          <w:marLeft w:val="0"/>
          <w:marRight w:val="0"/>
          <w:marTop w:val="0"/>
          <w:marBottom w:val="0"/>
          <w:divBdr>
            <w:top w:val="none" w:sz="0" w:space="0" w:color="auto"/>
            <w:left w:val="none" w:sz="0" w:space="0" w:color="auto"/>
            <w:bottom w:val="none" w:sz="0" w:space="0" w:color="auto"/>
            <w:right w:val="none" w:sz="0" w:space="0" w:color="auto"/>
          </w:divBdr>
          <w:divsChild>
            <w:div w:id="1348945212">
              <w:marLeft w:val="0"/>
              <w:marRight w:val="0"/>
              <w:marTop w:val="120"/>
              <w:marBottom w:val="0"/>
              <w:divBdr>
                <w:top w:val="none" w:sz="0" w:space="0" w:color="auto"/>
                <w:left w:val="none" w:sz="0" w:space="0" w:color="auto"/>
                <w:bottom w:val="none" w:sz="0" w:space="0" w:color="auto"/>
                <w:right w:val="none" w:sz="0" w:space="0" w:color="auto"/>
              </w:divBdr>
            </w:div>
            <w:div w:id="57556676">
              <w:marLeft w:val="0"/>
              <w:marRight w:val="0"/>
              <w:marTop w:val="0"/>
              <w:marBottom w:val="0"/>
              <w:divBdr>
                <w:top w:val="none" w:sz="0" w:space="0" w:color="auto"/>
                <w:left w:val="none" w:sz="0" w:space="0" w:color="auto"/>
                <w:bottom w:val="none" w:sz="0" w:space="0" w:color="auto"/>
                <w:right w:val="none" w:sz="0" w:space="0" w:color="auto"/>
              </w:divBdr>
              <w:divsChild>
                <w:div w:id="762074135">
                  <w:marLeft w:val="0"/>
                  <w:marRight w:val="0"/>
                  <w:marTop w:val="0"/>
                  <w:marBottom w:val="0"/>
                  <w:divBdr>
                    <w:top w:val="none" w:sz="0" w:space="0" w:color="auto"/>
                    <w:left w:val="none" w:sz="0" w:space="0" w:color="auto"/>
                    <w:bottom w:val="none" w:sz="0" w:space="0" w:color="auto"/>
                    <w:right w:val="none" w:sz="0" w:space="0" w:color="auto"/>
                  </w:divBdr>
                  <w:divsChild>
                    <w:div w:id="997423754">
                      <w:marLeft w:val="0"/>
                      <w:marRight w:val="0"/>
                      <w:marTop w:val="120"/>
                      <w:marBottom w:val="0"/>
                      <w:divBdr>
                        <w:top w:val="none" w:sz="0" w:space="0" w:color="auto"/>
                        <w:left w:val="none" w:sz="0" w:space="0" w:color="auto"/>
                        <w:bottom w:val="none" w:sz="0" w:space="0" w:color="auto"/>
                        <w:right w:val="none" w:sz="0" w:space="0" w:color="auto"/>
                      </w:divBdr>
                    </w:div>
                    <w:div w:id="637152003">
                      <w:marLeft w:val="0"/>
                      <w:marRight w:val="0"/>
                      <w:marTop w:val="0"/>
                      <w:marBottom w:val="0"/>
                      <w:divBdr>
                        <w:top w:val="none" w:sz="0" w:space="0" w:color="auto"/>
                        <w:left w:val="none" w:sz="0" w:space="0" w:color="auto"/>
                        <w:bottom w:val="none" w:sz="0" w:space="0" w:color="auto"/>
                        <w:right w:val="none" w:sz="0" w:space="0" w:color="auto"/>
                      </w:divBdr>
                    </w:div>
                  </w:divsChild>
                </w:div>
                <w:div w:id="762915690">
                  <w:marLeft w:val="0"/>
                  <w:marRight w:val="0"/>
                  <w:marTop w:val="0"/>
                  <w:marBottom w:val="0"/>
                  <w:divBdr>
                    <w:top w:val="none" w:sz="0" w:space="0" w:color="auto"/>
                    <w:left w:val="none" w:sz="0" w:space="0" w:color="auto"/>
                    <w:bottom w:val="none" w:sz="0" w:space="0" w:color="auto"/>
                    <w:right w:val="none" w:sz="0" w:space="0" w:color="auto"/>
                  </w:divBdr>
                  <w:divsChild>
                    <w:div w:id="144317863">
                      <w:marLeft w:val="0"/>
                      <w:marRight w:val="0"/>
                      <w:marTop w:val="120"/>
                      <w:marBottom w:val="0"/>
                      <w:divBdr>
                        <w:top w:val="none" w:sz="0" w:space="0" w:color="auto"/>
                        <w:left w:val="none" w:sz="0" w:space="0" w:color="auto"/>
                        <w:bottom w:val="none" w:sz="0" w:space="0" w:color="auto"/>
                        <w:right w:val="none" w:sz="0" w:space="0" w:color="auto"/>
                      </w:divBdr>
                    </w:div>
                    <w:div w:id="1904176877">
                      <w:marLeft w:val="0"/>
                      <w:marRight w:val="0"/>
                      <w:marTop w:val="0"/>
                      <w:marBottom w:val="0"/>
                      <w:divBdr>
                        <w:top w:val="none" w:sz="0" w:space="0" w:color="auto"/>
                        <w:left w:val="none" w:sz="0" w:space="0" w:color="auto"/>
                        <w:bottom w:val="none" w:sz="0" w:space="0" w:color="auto"/>
                        <w:right w:val="none" w:sz="0" w:space="0" w:color="auto"/>
                      </w:divBdr>
                      <w:divsChild>
                        <w:div w:id="860780880">
                          <w:marLeft w:val="0"/>
                          <w:marRight w:val="0"/>
                          <w:marTop w:val="0"/>
                          <w:marBottom w:val="0"/>
                          <w:divBdr>
                            <w:top w:val="none" w:sz="0" w:space="0" w:color="auto"/>
                            <w:left w:val="none" w:sz="0" w:space="0" w:color="auto"/>
                            <w:bottom w:val="none" w:sz="0" w:space="0" w:color="auto"/>
                            <w:right w:val="none" w:sz="0" w:space="0" w:color="auto"/>
                          </w:divBdr>
                          <w:divsChild>
                            <w:div w:id="769353523">
                              <w:marLeft w:val="0"/>
                              <w:marRight w:val="0"/>
                              <w:marTop w:val="120"/>
                              <w:marBottom w:val="0"/>
                              <w:divBdr>
                                <w:top w:val="none" w:sz="0" w:space="0" w:color="auto"/>
                                <w:left w:val="none" w:sz="0" w:space="0" w:color="auto"/>
                                <w:bottom w:val="none" w:sz="0" w:space="0" w:color="auto"/>
                                <w:right w:val="none" w:sz="0" w:space="0" w:color="auto"/>
                              </w:divBdr>
                            </w:div>
                            <w:div w:id="876771788">
                              <w:marLeft w:val="0"/>
                              <w:marRight w:val="0"/>
                              <w:marTop w:val="0"/>
                              <w:marBottom w:val="0"/>
                              <w:divBdr>
                                <w:top w:val="none" w:sz="0" w:space="0" w:color="auto"/>
                                <w:left w:val="none" w:sz="0" w:space="0" w:color="auto"/>
                                <w:bottom w:val="none" w:sz="0" w:space="0" w:color="auto"/>
                                <w:right w:val="none" w:sz="0" w:space="0" w:color="auto"/>
                              </w:divBdr>
                            </w:div>
                          </w:divsChild>
                        </w:div>
                        <w:div w:id="1438911499">
                          <w:marLeft w:val="0"/>
                          <w:marRight w:val="0"/>
                          <w:marTop w:val="0"/>
                          <w:marBottom w:val="0"/>
                          <w:divBdr>
                            <w:top w:val="none" w:sz="0" w:space="0" w:color="auto"/>
                            <w:left w:val="none" w:sz="0" w:space="0" w:color="auto"/>
                            <w:bottom w:val="none" w:sz="0" w:space="0" w:color="auto"/>
                            <w:right w:val="none" w:sz="0" w:space="0" w:color="auto"/>
                          </w:divBdr>
                          <w:divsChild>
                            <w:div w:id="280304243">
                              <w:marLeft w:val="0"/>
                              <w:marRight w:val="0"/>
                              <w:marTop w:val="120"/>
                              <w:marBottom w:val="0"/>
                              <w:divBdr>
                                <w:top w:val="none" w:sz="0" w:space="0" w:color="auto"/>
                                <w:left w:val="none" w:sz="0" w:space="0" w:color="auto"/>
                                <w:bottom w:val="none" w:sz="0" w:space="0" w:color="auto"/>
                                <w:right w:val="none" w:sz="0" w:space="0" w:color="auto"/>
                              </w:divBdr>
                            </w:div>
                            <w:div w:id="1298335890">
                              <w:marLeft w:val="0"/>
                              <w:marRight w:val="0"/>
                              <w:marTop w:val="0"/>
                              <w:marBottom w:val="0"/>
                              <w:divBdr>
                                <w:top w:val="none" w:sz="0" w:space="0" w:color="auto"/>
                                <w:left w:val="none" w:sz="0" w:space="0" w:color="auto"/>
                                <w:bottom w:val="none" w:sz="0" w:space="0" w:color="auto"/>
                                <w:right w:val="none" w:sz="0" w:space="0" w:color="auto"/>
                              </w:divBdr>
                            </w:div>
                          </w:divsChild>
                        </w:div>
                        <w:div w:id="1929269172">
                          <w:marLeft w:val="0"/>
                          <w:marRight w:val="0"/>
                          <w:marTop w:val="0"/>
                          <w:marBottom w:val="0"/>
                          <w:divBdr>
                            <w:top w:val="none" w:sz="0" w:space="0" w:color="auto"/>
                            <w:left w:val="none" w:sz="0" w:space="0" w:color="auto"/>
                            <w:bottom w:val="none" w:sz="0" w:space="0" w:color="auto"/>
                            <w:right w:val="none" w:sz="0" w:space="0" w:color="auto"/>
                          </w:divBdr>
                          <w:divsChild>
                            <w:div w:id="498691235">
                              <w:marLeft w:val="0"/>
                              <w:marRight w:val="0"/>
                              <w:marTop w:val="120"/>
                              <w:marBottom w:val="0"/>
                              <w:divBdr>
                                <w:top w:val="none" w:sz="0" w:space="0" w:color="auto"/>
                                <w:left w:val="none" w:sz="0" w:space="0" w:color="auto"/>
                                <w:bottom w:val="none" w:sz="0" w:space="0" w:color="auto"/>
                                <w:right w:val="none" w:sz="0" w:space="0" w:color="auto"/>
                              </w:divBdr>
                            </w:div>
                            <w:div w:id="1434084552">
                              <w:marLeft w:val="0"/>
                              <w:marRight w:val="0"/>
                              <w:marTop w:val="0"/>
                              <w:marBottom w:val="0"/>
                              <w:divBdr>
                                <w:top w:val="none" w:sz="0" w:space="0" w:color="auto"/>
                                <w:left w:val="none" w:sz="0" w:space="0" w:color="auto"/>
                                <w:bottom w:val="none" w:sz="0" w:space="0" w:color="auto"/>
                                <w:right w:val="none" w:sz="0" w:space="0" w:color="auto"/>
                              </w:divBdr>
                            </w:div>
                          </w:divsChild>
                        </w:div>
                        <w:div w:id="181481960">
                          <w:marLeft w:val="0"/>
                          <w:marRight w:val="0"/>
                          <w:marTop w:val="0"/>
                          <w:marBottom w:val="0"/>
                          <w:divBdr>
                            <w:top w:val="none" w:sz="0" w:space="0" w:color="auto"/>
                            <w:left w:val="none" w:sz="0" w:space="0" w:color="auto"/>
                            <w:bottom w:val="none" w:sz="0" w:space="0" w:color="auto"/>
                            <w:right w:val="none" w:sz="0" w:space="0" w:color="auto"/>
                          </w:divBdr>
                          <w:divsChild>
                            <w:div w:id="1334259565">
                              <w:marLeft w:val="0"/>
                              <w:marRight w:val="0"/>
                              <w:marTop w:val="120"/>
                              <w:marBottom w:val="0"/>
                              <w:divBdr>
                                <w:top w:val="none" w:sz="0" w:space="0" w:color="auto"/>
                                <w:left w:val="none" w:sz="0" w:space="0" w:color="auto"/>
                                <w:bottom w:val="none" w:sz="0" w:space="0" w:color="auto"/>
                                <w:right w:val="none" w:sz="0" w:space="0" w:color="auto"/>
                              </w:divBdr>
                            </w:div>
                            <w:div w:id="272250911">
                              <w:marLeft w:val="0"/>
                              <w:marRight w:val="0"/>
                              <w:marTop w:val="0"/>
                              <w:marBottom w:val="0"/>
                              <w:divBdr>
                                <w:top w:val="none" w:sz="0" w:space="0" w:color="auto"/>
                                <w:left w:val="none" w:sz="0" w:space="0" w:color="auto"/>
                                <w:bottom w:val="none" w:sz="0" w:space="0" w:color="auto"/>
                                <w:right w:val="none" w:sz="0" w:space="0" w:color="auto"/>
                              </w:divBdr>
                            </w:div>
                          </w:divsChild>
                        </w:div>
                        <w:div w:id="246575762">
                          <w:marLeft w:val="0"/>
                          <w:marRight w:val="0"/>
                          <w:marTop w:val="0"/>
                          <w:marBottom w:val="0"/>
                          <w:divBdr>
                            <w:top w:val="none" w:sz="0" w:space="0" w:color="auto"/>
                            <w:left w:val="none" w:sz="0" w:space="0" w:color="auto"/>
                            <w:bottom w:val="none" w:sz="0" w:space="0" w:color="auto"/>
                            <w:right w:val="none" w:sz="0" w:space="0" w:color="auto"/>
                          </w:divBdr>
                          <w:divsChild>
                            <w:div w:id="811409285">
                              <w:marLeft w:val="0"/>
                              <w:marRight w:val="0"/>
                              <w:marTop w:val="120"/>
                              <w:marBottom w:val="0"/>
                              <w:divBdr>
                                <w:top w:val="none" w:sz="0" w:space="0" w:color="auto"/>
                                <w:left w:val="none" w:sz="0" w:space="0" w:color="auto"/>
                                <w:bottom w:val="none" w:sz="0" w:space="0" w:color="auto"/>
                                <w:right w:val="none" w:sz="0" w:space="0" w:color="auto"/>
                              </w:divBdr>
                            </w:div>
                            <w:div w:id="14325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4530">
                  <w:marLeft w:val="0"/>
                  <w:marRight w:val="0"/>
                  <w:marTop w:val="0"/>
                  <w:marBottom w:val="0"/>
                  <w:divBdr>
                    <w:top w:val="none" w:sz="0" w:space="0" w:color="auto"/>
                    <w:left w:val="none" w:sz="0" w:space="0" w:color="auto"/>
                    <w:bottom w:val="none" w:sz="0" w:space="0" w:color="auto"/>
                    <w:right w:val="none" w:sz="0" w:space="0" w:color="auto"/>
                  </w:divBdr>
                  <w:divsChild>
                    <w:div w:id="239222113">
                      <w:marLeft w:val="0"/>
                      <w:marRight w:val="0"/>
                      <w:marTop w:val="120"/>
                      <w:marBottom w:val="0"/>
                      <w:divBdr>
                        <w:top w:val="none" w:sz="0" w:space="0" w:color="auto"/>
                        <w:left w:val="none" w:sz="0" w:space="0" w:color="auto"/>
                        <w:bottom w:val="none" w:sz="0" w:space="0" w:color="auto"/>
                        <w:right w:val="none" w:sz="0" w:space="0" w:color="auto"/>
                      </w:divBdr>
                    </w:div>
                    <w:div w:id="10014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30675">
          <w:marLeft w:val="0"/>
          <w:marRight w:val="0"/>
          <w:marTop w:val="0"/>
          <w:marBottom w:val="0"/>
          <w:divBdr>
            <w:top w:val="none" w:sz="0" w:space="0" w:color="auto"/>
            <w:left w:val="none" w:sz="0" w:space="0" w:color="auto"/>
            <w:bottom w:val="none" w:sz="0" w:space="0" w:color="auto"/>
            <w:right w:val="none" w:sz="0" w:space="0" w:color="auto"/>
          </w:divBdr>
          <w:divsChild>
            <w:div w:id="673806859">
              <w:marLeft w:val="0"/>
              <w:marRight w:val="0"/>
              <w:marTop w:val="120"/>
              <w:marBottom w:val="0"/>
              <w:divBdr>
                <w:top w:val="none" w:sz="0" w:space="0" w:color="auto"/>
                <w:left w:val="none" w:sz="0" w:space="0" w:color="auto"/>
                <w:bottom w:val="none" w:sz="0" w:space="0" w:color="auto"/>
                <w:right w:val="none" w:sz="0" w:space="0" w:color="auto"/>
              </w:divBdr>
            </w:div>
            <w:div w:id="1476950633">
              <w:marLeft w:val="0"/>
              <w:marRight w:val="0"/>
              <w:marTop w:val="0"/>
              <w:marBottom w:val="0"/>
              <w:divBdr>
                <w:top w:val="none" w:sz="0" w:space="0" w:color="auto"/>
                <w:left w:val="none" w:sz="0" w:space="0" w:color="auto"/>
                <w:bottom w:val="none" w:sz="0" w:space="0" w:color="auto"/>
                <w:right w:val="none" w:sz="0" w:space="0" w:color="auto"/>
              </w:divBdr>
              <w:divsChild>
                <w:div w:id="3674150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2577983">
          <w:marLeft w:val="0"/>
          <w:marRight w:val="0"/>
          <w:marTop w:val="0"/>
          <w:marBottom w:val="0"/>
          <w:divBdr>
            <w:top w:val="none" w:sz="0" w:space="0" w:color="auto"/>
            <w:left w:val="none" w:sz="0" w:space="0" w:color="auto"/>
            <w:bottom w:val="none" w:sz="0" w:space="0" w:color="auto"/>
            <w:right w:val="none" w:sz="0" w:space="0" w:color="auto"/>
          </w:divBdr>
          <w:divsChild>
            <w:div w:id="1652634804">
              <w:marLeft w:val="0"/>
              <w:marRight w:val="0"/>
              <w:marTop w:val="120"/>
              <w:marBottom w:val="0"/>
              <w:divBdr>
                <w:top w:val="none" w:sz="0" w:space="0" w:color="auto"/>
                <w:left w:val="none" w:sz="0" w:space="0" w:color="auto"/>
                <w:bottom w:val="none" w:sz="0" w:space="0" w:color="auto"/>
                <w:right w:val="none" w:sz="0" w:space="0" w:color="auto"/>
              </w:divBdr>
            </w:div>
            <w:div w:id="357315350">
              <w:marLeft w:val="0"/>
              <w:marRight w:val="0"/>
              <w:marTop w:val="0"/>
              <w:marBottom w:val="0"/>
              <w:divBdr>
                <w:top w:val="none" w:sz="0" w:space="0" w:color="auto"/>
                <w:left w:val="none" w:sz="0" w:space="0" w:color="auto"/>
                <w:bottom w:val="none" w:sz="0" w:space="0" w:color="auto"/>
                <w:right w:val="none" w:sz="0" w:space="0" w:color="auto"/>
              </w:divBdr>
              <w:divsChild>
                <w:div w:id="18933438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732958">
          <w:marLeft w:val="0"/>
          <w:marRight w:val="0"/>
          <w:marTop w:val="0"/>
          <w:marBottom w:val="0"/>
          <w:divBdr>
            <w:top w:val="none" w:sz="0" w:space="0" w:color="auto"/>
            <w:left w:val="none" w:sz="0" w:space="0" w:color="auto"/>
            <w:bottom w:val="none" w:sz="0" w:space="0" w:color="auto"/>
            <w:right w:val="none" w:sz="0" w:space="0" w:color="auto"/>
          </w:divBdr>
          <w:divsChild>
            <w:div w:id="685178946">
              <w:marLeft w:val="0"/>
              <w:marRight w:val="0"/>
              <w:marTop w:val="120"/>
              <w:marBottom w:val="0"/>
              <w:divBdr>
                <w:top w:val="none" w:sz="0" w:space="0" w:color="auto"/>
                <w:left w:val="none" w:sz="0" w:space="0" w:color="auto"/>
                <w:bottom w:val="none" w:sz="0" w:space="0" w:color="auto"/>
                <w:right w:val="none" w:sz="0" w:space="0" w:color="auto"/>
              </w:divBdr>
            </w:div>
            <w:div w:id="545533572">
              <w:marLeft w:val="0"/>
              <w:marRight w:val="0"/>
              <w:marTop w:val="0"/>
              <w:marBottom w:val="0"/>
              <w:divBdr>
                <w:top w:val="none" w:sz="0" w:space="0" w:color="auto"/>
                <w:left w:val="none" w:sz="0" w:space="0" w:color="auto"/>
                <w:bottom w:val="none" w:sz="0" w:space="0" w:color="auto"/>
                <w:right w:val="none" w:sz="0" w:space="0" w:color="auto"/>
              </w:divBdr>
              <w:divsChild>
                <w:div w:id="15636330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16367416">
          <w:marLeft w:val="0"/>
          <w:marRight w:val="0"/>
          <w:marTop w:val="0"/>
          <w:marBottom w:val="0"/>
          <w:divBdr>
            <w:top w:val="none" w:sz="0" w:space="0" w:color="auto"/>
            <w:left w:val="none" w:sz="0" w:space="0" w:color="auto"/>
            <w:bottom w:val="none" w:sz="0" w:space="0" w:color="auto"/>
            <w:right w:val="none" w:sz="0" w:space="0" w:color="auto"/>
          </w:divBdr>
          <w:divsChild>
            <w:div w:id="1111169378">
              <w:marLeft w:val="0"/>
              <w:marRight w:val="0"/>
              <w:marTop w:val="120"/>
              <w:marBottom w:val="0"/>
              <w:divBdr>
                <w:top w:val="none" w:sz="0" w:space="0" w:color="auto"/>
                <w:left w:val="none" w:sz="0" w:space="0" w:color="auto"/>
                <w:bottom w:val="none" w:sz="0" w:space="0" w:color="auto"/>
                <w:right w:val="none" w:sz="0" w:space="0" w:color="auto"/>
              </w:divBdr>
            </w:div>
            <w:div w:id="531377894">
              <w:marLeft w:val="0"/>
              <w:marRight w:val="0"/>
              <w:marTop w:val="0"/>
              <w:marBottom w:val="0"/>
              <w:divBdr>
                <w:top w:val="none" w:sz="0" w:space="0" w:color="auto"/>
                <w:left w:val="none" w:sz="0" w:space="0" w:color="auto"/>
                <w:bottom w:val="none" w:sz="0" w:space="0" w:color="auto"/>
                <w:right w:val="none" w:sz="0" w:space="0" w:color="auto"/>
              </w:divBdr>
              <w:divsChild>
                <w:div w:id="13314440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13940204">
          <w:marLeft w:val="0"/>
          <w:marRight w:val="0"/>
          <w:marTop w:val="0"/>
          <w:marBottom w:val="0"/>
          <w:divBdr>
            <w:top w:val="none" w:sz="0" w:space="0" w:color="auto"/>
            <w:left w:val="none" w:sz="0" w:space="0" w:color="auto"/>
            <w:bottom w:val="none" w:sz="0" w:space="0" w:color="auto"/>
            <w:right w:val="none" w:sz="0" w:space="0" w:color="auto"/>
          </w:divBdr>
          <w:divsChild>
            <w:div w:id="557204385">
              <w:marLeft w:val="0"/>
              <w:marRight w:val="0"/>
              <w:marTop w:val="12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sChild>
                <w:div w:id="3090982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3602586">
          <w:marLeft w:val="0"/>
          <w:marRight w:val="0"/>
          <w:marTop w:val="0"/>
          <w:marBottom w:val="0"/>
          <w:divBdr>
            <w:top w:val="none" w:sz="0" w:space="0" w:color="auto"/>
            <w:left w:val="none" w:sz="0" w:space="0" w:color="auto"/>
            <w:bottom w:val="none" w:sz="0" w:space="0" w:color="auto"/>
            <w:right w:val="none" w:sz="0" w:space="0" w:color="auto"/>
          </w:divBdr>
          <w:divsChild>
            <w:div w:id="579565436">
              <w:marLeft w:val="0"/>
              <w:marRight w:val="0"/>
              <w:marTop w:val="120"/>
              <w:marBottom w:val="0"/>
              <w:divBdr>
                <w:top w:val="none" w:sz="0" w:space="0" w:color="auto"/>
                <w:left w:val="none" w:sz="0" w:space="0" w:color="auto"/>
                <w:bottom w:val="none" w:sz="0" w:space="0" w:color="auto"/>
                <w:right w:val="none" w:sz="0" w:space="0" w:color="auto"/>
              </w:divBdr>
            </w:div>
            <w:div w:id="997147185">
              <w:marLeft w:val="0"/>
              <w:marRight w:val="0"/>
              <w:marTop w:val="0"/>
              <w:marBottom w:val="0"/>
              <w:divBdr>
                <w:top w:val="none" w:sz="0" w:space="0" w:color="auto"/>
                <w:left w:val="none" w:sz="0" w:space="0" w:color="auto"/>
                <w:bottom w:val="none" w:sz="0" w:space="0" w:color="auto"/>
                <w:right w:val="none" w:sz="0" w:space="0" w:color="auto"/>
              </w:divBdr>
              <w:divsChild>
                <w:div w:id="18719929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20771897">
          <w:marLeft w:val="0"/>
          <w:marRight w:val="0"/>
          <w:marTop w:val="0"/>
          <w:marBottom w:val="0"/>
          <w:divBdr>
            <w:top w:val="none" w:sz="0" w:space="0" w:color="auto"/>
            <w:left w:val="none" w:sz="0" w:space="0" w:color="auto"/>
            <w:bottom w:val="none" w:sz="0" w:space="0" w:color="auto"/>
            <w:right w:val="none" w:sz="0" w:space="0" w:color="auto"/>
          </w:divBdr>
          <w:divsChild>
            <w:div w:id="46489077">
              <w:marLeft w:val="0"/>
              <w:marRight w:val="0"/>
              <w:marTop w:val="120"/>
              <w:marBottom w:val="0"/>
              <w:divBdr>
                <w:top w:val="none" w:sz="0" w:space="0" w:color="auto"/>
                <w:left w:val="none" w:sz="0" w:space="0" w:color="auto"/>
                <w:bottom w:val="none" w:sz="0" w:space="0" w:color="auto"/>
                <w:right w:val="none" w:sz="0" w:space="0" w:color="auto"/>
              </w:divBdr>
            </w:div>
            <w:div w:id="661467914">
              <w:marLeft w:val="0"/>
              <w:marRight w:val="0"/>
              <w:marTop w:val="0"/>
              <w:marBottom w:val="0"/>
              <w:divBdr>
                <w:top w:val="none" w:sz="0" w:space="0" w:color="auto"/>
                <w:left w:val="none" w:sz="0" w:space="0" w:color="auto"/>
                <w:bottom w:val="none" w:sz="0" w:space="0" w:color="auto"/>
                <w:right w:val="none" w:sz="0" w:space="0" w:color="auto"/>
              </w:divBdr>
              <w:divsChild>
                <w:div w:id="6544093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41913068">
      <w:bodyDiv w:val="1"/>
      <w:marLeft w:val="0"/>
      <w:marRight w:val="0"/>
      <w:marTop w:val="0"/>
      <w:marBottom w:val="0"/>
      <w:divBdr>
        <w:top w:val="none" w:sz="0" w:space="0" w:color="auto"/>
        <w:left w:val="none" w:sz="0" w:space="0" w:color="auto"/>
        <w:bottom w:val="none" w:sz="0" w:space="0" w:color="auto"/>
        <w:right w:val="none" w:sz="0" w:space="0" w:color="auto"/>
      </w:divBdr>
      <w:divsChild>
        <w:div w:id="483544778">
          <w:marLeft w:val="0"/>
          <w:marRight w:val="0"/>
          <w:marTop w:val="0"/>
          <w:marBottom w:val="0"/>
          <w:divBdr>
            <w:top w:val="none" w:sz="0" w:space="0" w:color="auto"/>
            <w:left w:val="none" w:sz="0" w:space="0" w:color="auto"/>
            <w:bottom w:val="none" w:sz="0" w:space="0" w:color="auto"/>
            <w:right w:val="none" w:sz="0" w:space="0" w:color="auto"/>
          </w:divBdr>
        </w:div>
      </w:divsChild>
    </w:div>
    <w:div w:id="961038935">
      <w:bodyDiv w:val="1"/>
      <w:marLeft w:val="0"/>
      <w:marRight w:val="0"/>
      <w:marTop w:val="0"/>
      <w:marBottom w:val="0"/>
      <w:divBdr>
        <w:top w:val="none" w:sz="0" w:space="0" w:color="auto"/>
        <w:left w:val="none" w:sz="0" w:space="0" w:color="auto"/>
        <w:bottom w:val="none" w:sz="0" w:space="0" w:color="auto"/>
        <w:right w:val="none" w:sz="0" w:space="0" w:color="auto"/>
      </w:divBdr>
    </w:div>
    <w:div w:id="1086922721">
      <w:bodyDiv w:val="1"/>
      <w:marLeft w:val="0"/>
      <w:marRight w:val="0"/>
      <w:marTop w:val="0"/>
      <w:marBottom w:val="0"/>
      <w:divBdr>
        <w:top w:val="none" w:sz="0" w:space="0" w:color="auto"/>
        <w:left w:val="none" w:sz="0" w:space="0" w:color="auto"/>
        <w:bottom w:val="none" w:sz="0" w:space="0" w:color="auto"/>
        <w:right w:val="none" w:sz="0" w:space="0" w:color="auto"/>
      </w:divBdr>
    </w:div>
    <w:div w:id="1502043286">
      <w:bodyDiv w:val="1"/>
      <w:marLeft w:val="0"/>
      <w:marRight w:val="0"/>
      <w:marTop w:val="0"/>
      <w:marBottom w:val="0"/>
      <w:divBdr>
        <w:top w:val="none" w:sz="0" w:space="0" w:color="auto"/>
        <w:left w:val="none" w:sz="0" w:space="0" w:color="auto"/>
        <w:bottom w:val="none" w:sz="0" w:space="0" w:color="auto"/>
        <w:right w:val="none" w:sz="0" w:space="0" w:color="auto"/>
      </w:divBdr>
      <w:divsChild>
        <w:div w:id="1379931640">
          <w:marLeft w:val="0"/>
          <w:marRight w:val="0"/>
          <w:marTop w:val="0"/>
          <w:marBottom w:val="0"/>
          <w:divBdr>
            <w:top w:val="none" w:sz="0" w:space="0" w:color="auto"/>
            <w:left w:val="none" w:sz="0" w:space="0" w:color="auto"/>
            <w:bottom w:val="none" w:sz="0" w:space="0" w:color="auto"/>
            <w:right w:val="none" w:sz="0" w:space="0" w:color="auto"/>
          </w:divBdr>
        </w:div>
      </w:divsChild>
    </w:div>
    <w:div w:id="1502311122">
      <w:bodyDiv w:val="1"/>
      <w:marLeft w:val="0"/>
      <w:marRight w:val="0"/>
      <w:marTop w:val="0"/>
      <w:marBottom w:val="0"/>
      <w:divBdr>
        <w:top w:val="none" w:sz="0" w:space="0" w:color="auto"/>
        <w:left w:val="none" w:sz="0" w:space="0" w:color="auto"/>
        <w:bottom w:val="none" w:sz="0" w:space="0" w:color="auto"/>
        <w:right w:val="none" w:sz="0" w:space="0" w:color="auto"/>
      </w:divBdr>
      <w:divsChild>
        <w:div w:id="1886873386">
          <w:marLeft w:val="0"/>
          <w:marRight w:val="0"/>
          <w:marTop w:val="0"/>
          <w:marBottom w:val="0"/>
          <w:divBdr>
            <w:top w:val="none" w:sz="0" w:space="0" w:color="auto"/>
            <w:left w:val="none" w:sz="0" w:space="0" w:color="auto"/>
            <w:bottom w:val="none" w:sz="0" w:space="0" w:color="auto"/>
            <w:right w:val="none" w:sz="0" w:space="0" w:color="auto"/>
          </w:divBdr>
        </w:div>
      </w:divsChild>
    </w:div>
    <w:div w:id="1552302891">
      <w:bodyDiv w:val="1"/>
      <w:marLeft w:val="0"/>
      <w:marRight w:val="0"/>
      <w:marTop w:val="0"/>
      <w:marBottom w:val="0"/>
      <w:divBdr>
        <w:top w:val="none" w:sz="0" w:space="0" w:color="auto"/>
        <w:left w:val="none" w:sz="0" w:space="0" w:color="auto"/>
        <w:bottom w:val="none" w:sz="0" w:space="0" w:color="auto"/>
        <w:right w:val="none" w:sz="0" w:space="0" w:color="auto"/>
      </w:divBdr>
    </w:div>
    <w:div w:id="1599866532">
      <w:bodyDiv w:val="1"/>
      <w:marLeft w:val="0"/>
      <w:marRight w:val="0"/>
      <w:marTop w:val="0"/>
      <w:marBottom w:val="0"/>
      <w:divBdr>
        <w:top w:val="none" w:sz="0" w:space="0" w:color="auto"/>
        <w:left w:val="none" w:sz="0" w:space="0" w:color="auto"/>
        <w:bottom w:val="none" w:sz="0" w:space="0" w:color="auto"/>
        <w:right w:val="none" w:sz="0" w:space="0" w:color="auto"/>
      </w:divBdr>
      <w:divsChild>
        <w:div w:id="280848324">
          <w:marLeft w:val="0"/>
          <w:marRight w:val="0"/>
          <w:marTop w:val="0"/>
          <w:marBottom w:val="0"/>
          <w:divBdr>
            <w:top w:val="none" w:sz="0" w:space="0" w:color="auto"/>
            <w:left w:val="none" w:sz="0" w:space="0" w:color="auto"/>
            <w:bottom w:val="none" w:sz="0" w:space="0" w:color="auto"/>
            <w:right w:val="none" w:sz="0" w:space="0" w:color="auto"/>
          </w:divBdr>
        </w:div>
      </w:divsChild>
    </w:div>
    <w:div w:id="1672676267">
      <w:bodyDiv w:val="1"/>
      <w:marLeft w:val="0"/>
      <w:marRight w:val="0"/>
      <w:marTop w:val="0"/>
      <w:marBottom w:val="0"/>
      <w:divBdr>
        <w:top w:val="none" w:sz="0" w:space="0" w:color="auto"/>
        <w:left w:val="none" w:sz="0" w:space="0" w:color="auto"/>
        <w:bottom w:val="none" w:sz="0" w:space="0" w:color="auto"/>
        <w:right w:val="none" w:sz="0" w:space="0" w:color="auto"/>
      </w:divBdr>
    </w:div>
    <w:div w:id="1704095820">
      <w:bodyDiv w:val="1"/>
      <w:marLeft w:val="0"/>
      <w:marRight w:val="0"/>
      <w:marTop w:val="0"/>
      <w:marBottom w:val="0"/>
      <w:divBdr>
        <w:top w:val="none" w:sz="0" w:space="0" w:color="auto"/>
        <w:left w:val="none" w:sz="0" w:space="0" w:color="auto"/>
        <w:bottom w:val="none" w:sz="0" w:space="0" w:color="auto"/>
        <w:right w:val="none" w:sz="0" w:space="0" w:color="auto"/>
      </w:divBdr>
    </w:div>
    <w:div w:id="1897817536">
      <w:bodyDiv w:val="1"/>
      <w:marLeft w:val="0"/>
      <w:marRight w:val="0"/>
      <w:marTop w:val="0"/>
      <w:marBottom w:val="0"/>
      <w:divBdr>
        <w:top w:val="none" w:sz="0" w:space="0" w:color="auto"/>
        <w:left w:val="none" w:sz="0" w:space="0" w:color="auto"/>
        <w:bottom w:val="none" w:sz="0" w:space="0" w:color="auto"/>
        <w:right w:val="none" w:sz="0" w:space="0" w:color="auto"/>
      </w:divBdr>
      <w:divsChild>
        <w:div w:id="355741670">
          <w:marLeft w:val="0"/>
          <w:marRight w:val="0"/>
          <w:marTop w:val="0"/>
          <w:marBottom w:val="0"/>
          <w:divBdr>
            <w:top w:val="none" w:sz="0" w:space="0" w:color="auto"/>
            <w:left w:val="none" w:sz="0" w:space="0" w:color="auto"/>
            <w:bottom w:val="none" w:sz="0" w:space="0" w:color="auto"/>
            <w:right w:val="none" w:sz="0" w:space="0" w:color="auto"/>
          </w:divBdr>
          <w:divsChild>
            <w:div w:id="756561940">
              <w:marLeft w:val="0"/>
              <w:marRight w:val="0"/>
              <w:marTop w:val="120"/>
              <w:marBottom w:val="0"/>
              <w:divBdr>
                <w:top w:val="none" w:sz="0" w:space="0" w:color="auto"/>
                <w:left w:val="none" w:sz="0" w:space="0" w:color="auto"/>
                <w:bottom w:val="none" w:sz="0" w:space="0" w:color="auto"/>
                <w:right w:val="none" w:sz="0" w:space="0" w:color="auto"/>
              </w:divBdr>
            </w:div>
            <w:div w:id="1616908333">
              <w:marLeft w:val="0"/>
              <w:marRight w:val="0"/>
              <w:marTop w:val="0"/>
              <w:marBottom w:val="0"/>
              <w:divBdr>
                <w:top w:val="none" w:sz="0" w:space="0" w:color="auto"/>
                <w:left w:val="none" w:sz="0" w:space="0" w:color="auto"/>
                <w:bottom w:val="none" w:sz="0" w:space="0" w:color="auto"/>
                <w:right w:val="none" w:sz="0" w:space="0" w:color="auto"/>
              </w:divBdr>
            </w:div>
          </w:divsChild>
        </w:div>
        <w:div w:id="2034727358">
          <w:marLeft w:val="0"/>
          <w:marRight w:val="0"/>
          <w:marTop w:val="0"/>
          <w:marBottom w:val="0"/>
          <w:divBdr>
            <w:top w:val="none" w:sz="0" w:space="0" w:color="auto"/>
            <w:left w:val="none" w:sz="0" w:space="0" w:color="auto"/>
            <w:bottom w:val="none" w:sz="0" w:space="0" w:color="auto"/>
            <w:right w:val="none" w:sz="0" w:space="0" w:color="auto"/>
          </w:divBdr>
          <w:divsChild>
            <w:div w:id="335501586">
              <w:marLeft w:val="0"/>
              <w:marRight w:val="0"/>
              <w:marTop w:val="120"/>
              <w:marBottom w:val="0"/>
              <w:divBdr>
                <w:top w:val="none" w:sz="0" w:space="0" w:color="auto"/>
                <w:left w:val="none" w:sz="0" w:space="0" w:color="auto"/>
                <w:bottom w:val="none" w:sz="0" w:space="0" w:color="auto"/>
                <w:right w:val="none" w:sz="0" w:space="0" w:color="auto"/>
              </w:divBdr>
            </w:div>
            <w:div w:id="1733040163">
              <w:marLeft w:val="0"/>
              <w:marRight w:val="0"/>
              <w:marTop w:val="0"/>
              <w:marBottom w:val="0"/>
              <w:divBdr>
                <w:top w:val="none" w:sz="0" w:space="0" w:color="auto"/>
                <w:left w:val="none" w:sz="0" w:space="0" w:color="auto"/>
                <w:bottom w:val="none" w:sz="0" w:space="0" w:color="auto"/>
                <w:right w:val="none" w:sz="0" w:space="0" w:color="auto"/>
              </w:divBdr>
              <w:divsChild>
                <w:div w:id="911549948">
                  <w:marLeft w:val="0"/>
                  <w:marRight w:val="0"/>
                  <w:marTop w:val="0"/>
                  <w:marBottom w:val="0"/>
                  <w:divBdr>
                    <w:top w:val="none" w:sz="0" w:space="0" w:color="auto"/>
                    <w:left w:val="none" w:sz="0" w:space="0" w:color="auto"/>
                    <w:bottom w:val="none" w:sz="0" w:space="0" w:color="auto"/>
                    <w:right w:val="none" w:sz="0" w:space="0" w:color="auto"/>
                  </w:divBdr>
                  <w:divsChild>
                    <w:div w:id="623930684">
                      <w:marLeft w:val="0"/>
                      <w:marRight w:val="0"/>
                      <w:marTop w:val="120"/>
                      <w:marBottom w:val="0"/>
                      <w:divBdr>
                        <w:top w:val="none" w:sz="0" w:space="0" w:color="auto"/>
                        <w:left w:val="none" w:sz="0" w:space="0" w:color="auto"/>
                        <w:bottom w:val="none" w:sz="0" w:space="0" w:color="auto"/>
                        <w:right w:val="none" w:sz="0" w:space="0" w:color="auto"/>
                      </w:divBdr>
                    </w:div>
                    <w:div w:id="1192065064">
                      <w:marLeft w:val="0"/>
                      <w:marRight w:val="0"/>
                      <w:marTop w:val="0"/>
                      <w:marBottom w:val="0"/>
                      <w:divBdr>
                        <w:top w:val="none" w:sz="0" w:space="0" w:color="auto"/>
                        <w:left w:val="none" w:sz="0" w:space="0" w:color="auto"/>
                        <w:bottom w:val="none" w:sz="0" w:space="0" w:color="auto"/>
                        <w:right w:val="none" w:sz="0" w:space="0" w:color="auto"/>
                      </w:divBdr>
                    </w:div>
                  </w:divsChild>
                </w:div>
                <w:div w:id="897478740">
                  <w:marLeft w:val="0"/>
                  <w:marRight w:val="0"/>
                  <w:marTop w:val="0"/>
                  <w:marBottom w:val="0"/>
                  <w:divBdr>
                    <w:top w:val="none" w:sz="0" w:space="0" w:color="auto"/>
                    <w:left w:val="none" w:sz="0" w:space="0" w:color="auto"/>
                    <w:bottom w:val="none" w:sz="0" w:space="0" w:color="auto"/>
                    <w:right w:val="none" w:sz="0" w:space="0" w:color="auto"/>
                  </w:divBdr>
                  <w:divsChild>
                    <w:div w:id="1184899767">
                      <w:marLeft w:val="0"/>
                      <w:marRight w:val="0"/>
                      <w:marTop w:val="120"/>
                      <w:marBottom w:val="0"/>
                      <w:divBdr>
                        <w:top w:val="none" w:sz="0" w:space="0" w:color="auto"/>
                        <w:left w:val="none" w:sz="0" w:space="0" w:color="auto"/>
                        <w:bottom w:val="none" w:sz="0" w:space="0" w:color="auto"/>
                        <w:right w:val="none" w:sz="0" w:space="0" w:color="auto"/>
                      </w:divBdr>
                    </w:div>
                    <w:div w:id="12695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55511">
          <w:marLeft w:val="0"/>
          <w:marRight w:val="0"/>
          <w:marTop w:val="0"/>
          <w:marBottom w:val="0"/>
          <w:divBdr>
            <w:top w:val="none" w:sz="0" w:space="0" w:color="auto"/>
            <w:left w:val="none" w:sz="0" w:space="0" w:color="auto"/>
            <w:bottom w:val="none" w:sz="0" w:space="0" w:color="auto"/>
            <w:right w:val="none" w:sz="0" w:space="0" w:color="auto"/>
          </w:divBdr>
          <w:divsChild>
            <w:div w:id="382411504">
              <w:marLeft w:val="0"/>
              <w:marRight w:val="0"/>
              <w:marTop w:val="120"/>
              <w:marBottom w:val="0"/>
              <w:divBdr>
                <w:top w:val="none" w:sz="0" w:space="0" w:color="auto"/>
                <w:left w:val="none" w:sz="0" w:space="0" w:color="auto"/>
                <w:bottom w:val="none" w:sz="0" w:space="0" w:color="auto"/>
                <w:right w:val="none" w:sz="0" w:space="0" w:color="auto"/>
              </w:divBdr>
            </w:div>
            <w:div w:id="1694645150">
              <w:marLeft w:val="0"/>
              <w:marRight w:val="0"/>
              <w:marTop w:val="0"/>
              <w:marBottom w:val="0"/>
              <w:divBdr>
                <w:top w:val="none" w:sz="0" w:space="0" w:color="auto"/>
                <w:left w:val="none" w:sz="0" w:space="0" w:color="auto"/>
                <w:bottom w:val="none" w:sz="0" w:space="0" w:color="auto"/>
                <w:right w:val="none" w:sz="0" w:space="0" w:color="auto"/>
              </w:divBdr>
            </w:div>
          </w:divsChild>
        </w:div>
        <w:div w:id="2001418573">
          <w:marLeft w:val="0"/>
          <w:marRight w:val="0"/>
          <w:marTop w:val="0"/>
          <w:marBottom w:val="0"/>
          <w:divBdr>
            <w:top w:val="none" w:sz="0" w:space="0" w:color="auto"/>
            <w:left w:val="none" w:sz="0" w:space="0" w:color="auto"/>
            <w:bottom w:val="none" w:sz="0" w:space="0" w:color="auto"/>
            <w:right w:val="none" w:sz="0" w:space="0" w:color="auto"/>
          </w:divBdr>
          <w:divsChild>
            <w:div w:id="557588972">
              <w:marLeft w:val="0"/>
              <w:marRight w:val="0"/>
              <w:marTop w:val="120"/>
              <w:marBottom w:val="0"/>
              <w:divBdr>
                <w:top w:val="none" w:sz="0" w:space="0" w:color="auto"/>
                <w:left w:val="none" w:sz="0" w:space="0" w:color="auto"/>
                <w:bottom w:val="none" w:sz="0" w:space="0" w:color="auto"/>
                <w:right w:val="none" w:sz="0" w:space="0" w:color="auto"/>
              </w:divBdr>
            </w:div>
            <w:div w:id="2083598256">
              <w:marLeft w:val="0"/>
              <w:marRight w:val="0"/>
              <w:marTop w:val="0"/>
              <w:marBottom w:val="0"/>
              <w:divBdr>
                <w:top w:val="none" w:sz="0" w:space="0" w:color="auto"/>
                <w:left w:val="none" w:sz="0" w:space="0" w:color="auto"/>
                <w:bottom w:val="none" w:sz="0" w:space="0" w:color="auto"/>
                <w:right w:val="none" w:sz="0" w:space="0" w:color="auto"/>
              </w:divBdr>
            </w:div>
          </w:divsChild>
        </w:div>
        <w:div w:id="2117283922">
          <w:marLeft w:val="0"/>
          <w:marRight w:val="0"/>
          <w:marTop w:val="0"/>
          <w:marBottom w:val="0"/>
          <w:divBdr>
            <w:top w:val="none" w:sz="0" w:space="0" w:color="auto"/>
            <w:left w:val="none" w:sz="0" w:space="0" w:color="auto"/>
            <w:bottom w:val="none" w:sz="0" w:space="0" w:color="auto"/>
            <w:right w:val="none" w:sz="0" w:space="0" w:color="auto"/>
          </w:divBdr>
          <w:divsChild>
            <w:div w:id="1629892259">
              <w:marLeft w:val="0"/>
              <w:marRight w:val="0"/>
              <w:marTop w:val="120"/>
              <w:marBottom w:val="0"/>
              <w:divBdr>
                <w:top w:val="none" w:sz="0" w:space="0" w:color="auto"/>
                <w:left w:val="none" w:sz="0" w:space="0" w:color="auto"/>
                <w:bottom w:val="none" w:sz="0" w:space="0" w:color="auto"/>
                <w:right w:val="none" w:sz="0" w:space="0" w:color="auto"/>
              </w:divBdr>
            </w:div>
            <w:div w:id="878974624">
              <w:marLeft w:val="0"/>
              <w:marRight w:val="0"/>
              <w:marTop w:val="0"/>
              <w:marBottom w:val="0"/>
              <w:divBdr>
                <w:top w:val="none" w:sz="0" w:space="0" w:color="auto"/>
                <w:left w:val="none" w:sz="0" w:space="0" w:color="auto"/>
                <w:bottom w:val="none" w:sz="0" w:space="0" w:color="auto"/>
                <w:right w:val="none" w:sz="0" w:space="0" w:color="auto"/>
              </w:divBdr>
            </w:div>
          </w:divsChild>
        </w:div>
        <w:div w:id="112944314">
          <w:marLeft w:val="0"/>
          <w:marRight w:val="0"/>
          <w:marTop w:val="0"/>
          <w:marBottom w:val="0"/>
          <w:divBdr>
            <w:top w:val="none" w:sz="0" w:space="0" w:color="auto"/>
            <w:left w:val="none" w:sz="0" w:space="0" w:color="auto"/>
            <w:bottom w:val="none" w:sz="0" w:space="0" w:color="auto"/>
            <w:right w:val="none" w:sz="0" w:space="0" w:color="auto"/>
          </w:divBdr>
          <w:divsChild>
            <w:div w:id="1284773250">
              <w:marLeft w:val="0"/>
              <w:marRight w:val="0"/>
              <w:marTop w:val="120"/>
              <w:marBottom w:val="0"/>
              <w:divBdr>
                <w:top w:val="none" w:sz="0" w:space="0" w:color="auto"/>
                <w:left w:val="none" w:sz="0" w:space="0" w:color="auto"/>
                <w:bottom w:val="none" w:sz="0" w:space="0" w:color="auto"/>
                <w:right w:val="none" w:sz="0" w:space="0" w:color="auto"/>
              </w:divBdr>
            </w:div>
            <w:div w:id="864517799">
              <w:marLeft w:val="0"/>
              <w:marRight w:val="0"/>
              <w:marTop w:val="0"/>
              <w:marBottom w:val="0"/>
              <w:divBdr>
                <w:top w:val="none" w:sz="0" w:space="0" w:color="auto"/>
                <w:left w:val="none" w:sz="0" w:space="0" w:color="auto"/>
                <w:bottom w:val="none" w:sz="0" w:space="0" w:color="auto"/>
                <w:right w:val="none" w:sz="0" w:space="0" w:color="auto"/>
              </w:divBdr>
            </w:div>
          </w:divsChild>
        </w:div>
        <w:div w:id="402921898">
          <w:marLeft w:val="0"/>
          <w:marRight w:val="0"/>
          <w:marTop w:val="0"/>
          <w:marBottom w:val="0"/>
          <w:divBdr>
            <w:top w:val="none" w:sz="0" w:space="0" w:color="auto"/>
            <w:left w:val="none" w:sz="0" w:space="0" w:color="auto"/>
            <w:bottom w:val="none" w:sz="0" w:space="0" w:color="auto"/>
            <w:right w:val="none" w:sz="0" w:space="0" w:color="auto"/>
          </w:divBdr>
          <w:divsChild>
            <w:div w:id="1613854366">
              <w:marLeft w:val="0"/>
              <w:marRight w:val="0"/>
              <w:marTop w:val="120"/>
              <w:marBottom w:val="0"/>
              <w:divBdr>
                <w:top w:val="none" w:sz="0" w:space="0" w:color="auto"/>
                <w:left w:val="none" w:sz="0" w:space="0" w:color="auto"/>
                <w:bottom w:val="none" w:sz="0" w:space="0" w:color="auto"/>
                <w:right w:val="none" w:sz="0" w:space="0" w:color="auto"/>
              </w:divBdr>
            </w:div>
            <w:div w:id="710573853">
              <w:marLeft w:val="0"/>
              <w:marRight w:val="0"/>
              <w:marTop w:val="0"/>
              <w:marBottom w:val="0"/>
              <w:divBdr>
                <w:top w:val="none" w:sz="0" w:space="0" w:color="auto"/>
                <w:left w:val="none" w:sz="0" w:space="0" w:color="auto"/>
                <w:bottom w:val="none" w:sz="0" w:space="0" w:color="auto"/>
                <w:right w:val="none" w:sz="0" w:space="0" w:color="auto"/>
              </w:divBdr>
            </w:div>
          </w:divsChild>
        </w:div>
        <w:div w:id="924534564">
          <w:marLeft w:val="0"/>
          <w:marRight w:val="0"/>
          <w:marTop w:val="0"/>
          <w:marBottom w:val="0"/>
          <w:divBdr>
            <w:top w:val="none" w:sz="0" w:space="0" w:color="auto"/>
            <w:left w:val="none" w:sz="0" w:space="0" w:color="auto"/>
            <w:bottom w:val="none" w:sz="0" w:space="0" w:color="auto"/>
            <w:right w:val="none" w:sz="0" w:space="0" w:color="auto"/>
          </w:divBdr>
          <w:divsChild>
            <w:div w:id="696538912">
              <w:marLeft w:val="0"/>
              <w:marRight w:val="0"/>
              <w:marTop w:val="120"/>
              <w:marBottom w:val="0"/>
              <w:divBdr>
                <w:top w:val="none" w:sz="0" w:space="0" w:color="auto"/>
                <w:left w:val="none" w:sz="0" w:space="0" w:color="auto"/>
                <w:bottom w:val="none" w:sz="0" w:space="0" w:color="auto"/>
                <w:right w:val="none" w:sz="0" w:space="0" w:color="auto"/>
              </w:divBdr>
            </w:div>
            <w:div w:id="32770447">
              <w:marLeft w:val="0"/>
              <w:marRight w:val="0"/>
              <w:marTop w:val="0"/>
              <w:marBottom w:val="0"/>
              <w:divBdr>
                <w:top w:val="none" w:sz="0" w:space="0" w:color="auto"/>
                <w:left w:val="none" w:sz="0" w:space="0" w:color="auto"/>
                <w:bottom w:val="none" w:sz="0" w:space="0" w:color="auto"/>
                <w:right w:val="none" w:sz="0" w:space="0" w:color="auto"/>
              </w:divBdr>
            </w:div>
          </w:divsChild>
        </w:div>
        <w:div w:id="125128305">
          <w:marLeft w:val="0"/>
          <w:marRight w:val="0"/>
          <w:marTop w:val="0"/>
          <w:marBottom w:val="0"/>
          <w:divBdr>
            <w:top w:val="none" w:sz="0" w:space="0" w:color="auto"/>
            <w:left w:val="none" w:sz="0" w:space="0" w:color="auto"/>
            <w:bottom w:val="none" w:sz="0" w:space="0" w:color="auto"/>
            <w:right w:val="none" w:sz="0" w:space="0" w:color="auto"/>
          </w:divBdr>
          <w:divsChild>
            <w:div w:id="1394886771">
              <w:marLeft w:val="0"/>
              <w:marRight w:val="0"/>
              <w:marTop w:val="120"/>
              <w:marBottom w:val="0"/>
              <w:divBdr>
                <w:top w:val="none" w:sz="0" w:space="0" w:color="auto"/>
                <w:left w:val="none" w:sz="0" w:space="0" w:color="auto"/>
                <w:bottom w:val="none" w:sz="0" w:space="0" w:color="auto"/>
                <w:right w:val="none" w:sz="0" w:space="0" w:color="auto"/>
              </w:divBdr>
            </w:div>
            <w:div w:id="1868642361">
              <w:marLeft w:val="0"/>
              <w:marRight w:val="0"/>
              <w:marTop w:val="0"/>
              <w:marBottom w:val="0"/>
              <w:divBdr>
                <w:top w:val="none" w:sz="0" w:space="0" w:color="auto"/>
                <w:left w:val="none" w:sz="0" w:space="0" w:color="auto"/>
                <w:bottom w:val="none" w:sz="0" w:space="0" w:color="auto"/>
                <w:right w:val="none" w:sz="0" w:space="0" w:color="auto"/>
              </w:divBdr>
            </w:div>
          </w:divsChild>
        </w:div>
        <w:div w:id="1841698890">
          <w:marLeft w:val="0"/>
          <w:marRight w:val="0"/>
          <w:marTop w:val="0"/>
          <w:marBottom w:val="0"/>
          <w:divBdr>
            <w:top w:val="none" w:sz="0" w:space="0" w:color="auto"/>
            <w:left w:val="none" w:sz="0" w:space="0" w:color="auto"/>
            <w:bottom w:val="none" w:sz="0" w:space="0" w:color="auto"/>
            <w:right w:val="none" w:sz="0" w:space="0" w:color="auto"/>
          </w:divBdr>
          <w:divsChild>
            <w:div w:id="1954550961">
              <w:marLeft w:val="0"/>
              <w:marRight w:val="0"/>
              <w:marTop w:val="120"/>
              <w:marBottom w:val="0"/>
              <w:divBdr>
                <w:top w:val="none" w:sz="0" w:space="0" w:color="auto"/>
                <w:left w:val="none" w:sz="0" w:space="0" w:color="auto"/>
                <w:bottom w:val="none" w:sz="0" w:space="0" w:color="auto"/>
                <w:right w:val="none" w:sz="0" w:space="0" w:color="auto"/>
              </w:divBdr>
            </w:div>
            <w:div w:id="1349217227">
              <w:marLeft w:val="0"/>
              <w:marRight w:val="0"/>
              <w:marTop w:val="0"/>
              <w:marBottom w:val="0"/>
              <w:divBdr>
                <w:top w:val="none" w:sz="0" w:space="0" w:color="auto"/>
                <w:left w:val="none" w:sz="0" w:space="0" w:color="auto"/>
                <w:bottom w:val="none" w:sz="0" w:space="0" w:color="auto"/>
                <w:right w:val="none" w:sz="0" w:space="0" w:color="auto"/>
              </w:divBdr>
            </w:div>
          </w:divsChild>
        </w:div>
        <w:div w:id="1304237052">
          <w:marLeft w:val="0"/>
          <w:marRight w:val="0"/>
          <w:marTop w:val="0"/>
          <w:marBottom w:val="0"/>
          <w:divBdr>
            <w:top w:val="none" w:sz="0" w:space="0" w:color="auto"/>
            <w:left w:val="none" w:sz="0" w:space="0" w:color="auto"/>
            <w:bottom w:val="none" w:sz="0" w:space="0" w:color="auto"/>
            <w:right w:val="none" w:sz="0" w:space="0" w:color="auto"/>
          </w:divBdr>
          <w:divsChild>
            <w:div w:id="1678998993">
              <w:marLeft w:val="0"/>
              <w:marRight w:val="0"/>
              <w:marTop w:val="120"/>
              <w:marBottom w:val="0"/>
              <w:divBdr>
                <w:top w:val="none" w:sz="0" w:space="0" w:color="auto"/>
                <w:left w:val="none" w:sz="0" w:space="0" w:color="auto"/>
                <w:bottom w:val="none" w:sz="0" w:space="0" w:color="auto"/>
                <w:right w:val="none" w:sz="0" w:space="0" w:color="auto"/>
              </w:divBdr>
            </w:div>
            <w:div w:id="1720738668">
              <w:marLeft w:val="0"/>
              <w:marRight w:val="0"/>
              <w:marTop w:val="0"/>
              <w:marBottom w:val="0"/>
              <w:divBdr>
                <w:top w:val="none" w:sz="0" w:space="0" w:color="auto"/>
                <w:left w:val="none" w:sz="0" w:space="0" w:color="auto"/>
                <w:bottom w:val="none" w:sz="0" w:space="0" w:color="auto"/>
                <w:right w:val="none" w:sz="0" w:space="0" w:color="auto"/>
              </w:divBdr>
            </w:div>
          </w:divsChild>
        </w:div>
        <w:div w:id="2112627684">
          <w:marLeft w:val="0"/>
          <w:marRight w:val="0"/>
          <w:marTop w:val="0"/>
          <w:marBottom w:val="0"/>
          <w:divBdr>
            <w:top w:val="none" w:sz="0" w:space="0" w:color="auto"/>
            <w:left w:val="none" w:sz="0" w:space="0" w:color="auto"/>
            <w:bottom w:val="none" w:sz="0" w:space="0" w:color="auto"/>
            <w:right w:val="none" w:sz="0" w:space="0" w:color="auto"/>
          </w:divBdr>
          <w:divsChild>
            <w:div w:id="670762529">
              <w:marLeft w:val="0"/>
              <w:marRight w:val="0"/>
              <w:marTop w:val="120"/>
              <w:marBottom w:val="0"/>
              <w:divBdr>
                <w:top w:val="none" w:sz="0" w:space="0" w:color="auto"/>
                <w:left w:val="none" w:sz="0" w:space="0" w:color="auto"/>
                <w:bottom w:val="none" w:sz="0" w:space="0" w:color="auto"/>
                <w:right w:val="none" w:sz="0" w:space="0" w:color="auto"/>
              </w:divBdr>
            </w:div>
            <w:div w:id="613705882">
              <w:marLeft w:val="0"/>
              <w:marRight w:val="0"/>
              <w:marTop w:val="0"/>
              <w:marBottom w:val="0"/>
              <w:divBdr>
                <w:top w:val="none" w:sz="0" w:space="0" w:color="auto"/>
                <w:left w:val="none" w:sz="0" w:space="0" w:color="auto"/>
                <w:bottom w:val="none" w:sz="0" w:space="0" w:color="auto"/>
                <w:right w:val="none" w:sz="0" w:space="0" w:color="auto"/>
              </w:divBdr>
            </w:div>
          </w:divsChild>
        </w:div>
        <w:div w:id="987515793">
          <w:marLeft w:val="0"/>
          <w:marRight w:val="0"/>
          <w:marTop w:val="0"/>
          <w:marBottom w:val="0"/>
          <w:divBdr>
            <w:top w:val="none" w:sz="0" w:space="0" w:color="auto"/>
            <w:left w:val="none" w:sz="0" w:space="0" w:color="auto"/>
            <w:bottom w:val="none" w:sz="0" w:space="0" w:color="auto"/>
            <w:right w:val="none" w:sz="0" w:space="0" w:color="auto"/>
          </w:divBdr>
          <w:divsChild>
            <w:div w:id="1981839951">
              <w:marLeft w:val="0"/>
              <w:marRight w:val="0"/>
              <w:marTop w:val="120"/>
              <w:marBottom w:val="0"/>
              <w:divBdr>
                <w:top w:val="none" w:sz="0" w:space="0" w:color="auto"/>
                <w:left w:val="none" w:sz="0" w:space="0" w:color="auto"/>
                <w:bottom w:val="none" w:sz="0" w:space="0" w:color="auto"/>
                <w:right w:val="none" w:sz="0" w:space="0" w:color="auto"/>
              </w:divBdr>
            </w:div>
            <w:div w:id="1423456542">
              <w:marLeft w:val="0"/>
              <w:marRight w:val="0"/>
              <w:marTop w:val="0"/>
              <w:marBottom w:val="0"/>
              <w:divBdr>
                <w:top w:val="none" w:sz="0" w:space="0" w:color="auto"/>
                <w:left w:val="none" w:sz="0" w:space="0" w:color="auto"/>
                <w:bottom w:val="none" w:sz="0" w:space="0" w:color="auto"/>
                <w:right w:val="none" w:sz="0" w:space="0" w:color="auto"/>
              </w:divBdr>
            </w:div>
          </w:divsChild>
        </w:div>
        <w:div w:id="137114106">
          <w:marLeft w:val="0"/>
          <w:marRight w:val="0"/>
          <w:marTop w:val="0"/>
          <w:marBottom w:val="0"/>
          <w:divBdr>
            <w:top w:val="none" w:sz="0" w:space="0" w:color="auto"/>
            <w:left w:val="none" w:sz="0" w:space="0" w:color="auto"/>
            <w:bottom w:val="none" w:sz="0" w:space="0" w:color="auto"/>
            <w:right w:val="none" w:sz="0" w:space="0" w:color="auto"/>
          </w:divBdr>
          <w:divsChild>
            <w:div w:id="537819965">
              <w:marLeft w:val="0"/>
              <w:marRight w:val="0"/>
              <w:marTop w:val="120"/>
              <w:marBottom w:val="0"/>
              <w:divBdr>
                <w:top w:val="none" w:sz="0" w:space="0" w:color="auto"/>
                <w:left w:val="none" w:sz="0" w:space="0" w:color="auto"/>
                <w:bottom w:val="none" w:sz="0" w:space="0" w:color="auto"/>
                <w:right w:val="none" w:sz="0" w:space="0" w:color="auto"/>
              </w:divBdr>
            </w:div>
            <w:div w:id="243534368">
              <w:marLeft w:val="0"/>
              <w:marRight w:val="0"/>
              <w:marTop w:val="0"/>
              <w:marBottom w:val="0"/>
              <w:divBdr>
                <w:top w:val="none" w:sz="0" w:space="0" w:color="auto"/>
                <w:left w:val="none" w:sz="0" w:space="0" w:color="auto"/>
                <w:bottom w:val="none" w:sz="0" w:space="0" w:color="auto"/>
                <w:right w:val="none" w:sz="0" w:space="0" w:color="auto"/>
              </w:divBdr>
            </w:div>
          </w:divsChild>
        </w:div>
        <w:div w:id="420955008">
          <w:marLeft w:val="0"/>
          <w:marRight w:val="0"/>
          <w:marTop w:val="0"/>
          <w:marBottom w:val="0"/>
          <w:divBdr>
            <w:top w:val="none" w:sz="0" w:space="0" w:color="auto"/>
            <w:left w:val="none" w:sz="0" w:space="0" w:color="auto"/>
            <w:bottom w:val="none" w:sz="0" w:space="0" w:color="auto"/>
            <w:right w:val="none" w:sz="0" w:space="0" w:color="auto"/>
          </w:divBdr>
          <w:divsChild>
            <w:div w:id="1500996949">
              <w:marLeft w:val="0"/>
              <w:marRight w:val="0"/>
              <w:marTop w:val="120"/>
              <w:marBottom w:val="0"/>
              <w:divBdr>
                <w:top w:val="none" w:sz="0" w:space="0" w:color="auto"/>
                <w:left w:val="none" w:sz="0" w:space="0" w:color="auto"/>
                <w:bottom w:val="none" w:sz="0" w:space="0" w:color="auto"/>
                <w:right w:val="none" w:sz="0" w:space="0" w:color="auto"/>
              </w:divBdr>
            </w:div>
            <w:div w:id="357897782">
              <w:marLeft w:val="0"/>
              <w:marRight w:val="0"/>
              <w:marTop w:val="0"/>
              <w:marBottom w:val="0"/>
              <w:divBdr>
                <w:top w:val="none" w:sz="0" w:space="0" w:color="auto"/>
                <w:left w:val="none" w:sz="0" w:space="0" w:color="auto"/>
                <w:bottom w:val="none" w:sz="0" w:space="0" w:color="auto"/>
                <w:right w:val="none" w:sz="0" w:space="0" w:color="auto"/>
              </w:divBdr>
            </w:div>
          </w:divsChild>
        </w:div>
        <w:div w:id="1114177576">
          <w:marLeft w:val="0"/>
          <w:marRight w:val="0"/>
          <w:marTop w:val="0"/>
          <w:marBottom w:val="0"/>
          <w:divBdr>
            <w:top w:val="none" w:sz="0" w:space="0" w:color="auto"/>
            <w:left w:val="none" w:sz="0" w:space="0" w:color="auto"/>
            <w:bottom w:val="none" w:sz="0" w:space="0" w:color="auto"/>
            <w:right w:val="none" w:sz="0" w:space="0" w:color="auto"/>
          </w:divBdr>
          <w:divsChild>
            <w:div w:id="614752558">
              <w:marLeft w:val="0"/>
              <w:marRight w:val="0"/>
              <w:marTop w:val="120"/>
              <w:marBottom w:val="0"/>
              <w:divBdr>
                <w:top w:val="none" w:sz="0" w:space="0" w:color="auto"/>
                <w:left w:val="none" w:sz="0" w:space="0" w:color="auto"/>
                <w:bottom w:val="none" w:sz="0" w:space="0" w:color="auto"/>
                <w:right w:val="none" w:sz="0" w:space="0" w:color="auto"/>
              </w:divBdr>
            </w:div>
            <w:div w:id="1499613321">
              <w:marLeft w:val="0"/>
              <w:marRight w:val="0"/>
              <w:marTop w:val="0"/>
              <w:marBottom w:val="0"/>
              <w:divBdr>
                <w:top w:val="none" w:sz="0" w:space="0" w:color="auto"/>
                <w:left w:val="none" w:sz="0" w:space="0" w:color="auto"/>
                <w:bottom w:val="none" w:sz="0" w:space="0" w:color="auto"/>
                <w:right w:val="none" w:sz="0" w:space="0" w:color="auto"/>
              </w:divBdr>
            </w:div>
          </w:divsChild>
        </w:div>
        <w:div w:id="196967584">
          <w:marLeft w:val="0"/>
          <w:marRight w:val="0"/>
          <w:marTop w:val="0"/>
          <w:marBottom w:val="0"/>
          <w:divBdr>
            <w:top w:val="none" w:sz="0" w:space="0" w:color="auto"/>
            <w:left w:val="none" w:sz="0" w:space="0" w:color="auto"/>
            <w:bottom w:val="none" w:sz="0" w:space="0" w:color="auto"/>
            <w:right w:val="none" w:sz="0" w:space="0" w:color="auto"/>
          </w:divBdr>
          <w:divsChild>
            <w:div w:id="231621936">
              <w:marLeft w:val="0"/>
              <w:marRight w:val="0"/>
              <w:marTop w:val="120"/>
              <w:marBottom w:val="0"/>
              <w:divBdr>
                <w:top w:val="none" w:sz="0" w:space="0" w:color="auto"/>
                <w:left w:val="none" w:sz="0" w:space="0" w:color="auto"/>
                <w:bottom w:val="none" w:sz="0" w:space="0" w:color="auto"/>
                <w:right w:val="none" w:sz="0" w:space="0" w:color="auto"/>
              </w:divBdr>
            </w:div>
            <w:div w:id="1272666278">
              <w:marLeft w:val="0"/>
              <w:marRight w:val="0"/>
              <w:marTop w:val="0"/>
              <w:marBottom w:val="0"/>
              <w:divBdr>
                <w:top w:val="none" w:sz="0" w:space="0" w:color="auto"/>
                <w:left w:val="none" w:sz="0" w:space="0" w:color="auto"/>
                <w:bottom w:val="none" w:sz="0" w:space="0" w:color="auto"/>
                <w:right w:val="none" w:sz="0" w:space="0" w:color="auto"/>
              </w:divBdr>
            </w:div>
          </w:divsChild>
        </w:div>
        <w:div w:id="794762022">
          <w:marLeft w:val="0"/>
          <w:marRight w:val="0"/>
          <w:marTop w:val="0"/>
          <w:marBottom w:val="0"/>
          <w:divBdr>
            <w:top w:val="none" w:sz="0" w:space="0" w:color="auto"/>
            <w:left w:val="none" w:sz="0" w:space="0" w:color="auto"/>
            <w:bottom w:val="none" w:sz="0" w:space="0" w:color="auto"/>
            <w:right w:val="none" w:sz="0" w:space="0" w:color="auto"/>
          </w:divBdr>
          <w:divsChild>
            <w:div w:id="546374050">
              <w:marLeft w:val="0"/>
              <w:marRight w:val="0"/>
              <w:marTop w:val="120"/>
              <w:marBottom w:val="0"/>
              <w:divBdr>
                <w:top w:val="none" w:sz="0" w:space="0" w:color="auto"/>
                <w:left w:val="none" w:sz="0" w:space="0" w:color="auto"/>
                <w:bottom w:val="none" w:sz="0" w:space="0" w:color="auto"/>
                <w:right w:val="none" w:sz="0" w:space="0" w:color="auto"/>
              </w:divBdr>
            </w:div>
            <w:div w:id="947663119">
              <w:marLeft w:val="0"/>
              <w:marRight w:val="0"/>
              <w:marTop w:val="0"/>
              <w:marBottom w:val="0"/>
              <w:divBdr>
                <w:top w:val="none" w:sz="0" w:space="0" w:color="auto"/>
                <w:left w:val="none" w:sz="0" w:space="0" w:color="auto"/>
                <w:bottom w:val="none" w:sz="0" w:space="0" w:color="auto"/>
                <w:right w:val="none" w:sz="0" w:space="0" w:color="auto"/>
              </w:divBdr>
            </w:div>
          </w:divsChild>
        </w:div>
        <w:div w:id="1680424781">
          <w:marLeft w:val="0"/>
          <w:marRight w:val="0"/>
          <w:marTop w:val="0"/>
          <w:marBottom w:val="0"/>
          <w:divBdr>
            <w:top w:val="none" w:sz="0" w:space="0" w:color="auto"/>
            <w:left w:val="none" w:sz="0" w:space="0" w:color="auto"/>
            <w:bottom w:val="none" w:sz="0" w:space="0" w:color="auto"/>
            <w:right w:val="none" w:sz="0" w:space="0" w:color="auto"/>
          </w:divBdr>
          <w:divsChild>
            <w:div w:id="336275440">
              <w:marLeft w:val="0"/>
              <w:marRight w:val="0"/>
              <w:marTop w:val="120"/>
              <w:marBottom w:val="0"/>
              <w:divBdr>
                <w:top w:val="none" w:sz="0" w:space="0" w:color="auto"/>
                <w:left w:val="none" w:sz="0" w:space="0" w:color="auto"/>
                <w:bottom w:val="none" w:sz="0" w:space="0" w:color="auto"/>
                <w:right w:val="none" w:sz="0" w:space="0" w:color="auto"/>
              </w:divBdr>
            </w:div>
            <w:div w:id="1049106706">
              <w:marLeft w:val="0"/>
              <w:marRight w:val="0"/>
              <w:marTop w:val="0"/>
              <w:marBottom w:val="0"/>
              <w:divBdr>
                <w:top w:val="none" w:sz="0" w:space="0" w:color="auto"/>
                <w:left w:val="none" w:sz="0" w:space="0" w:color="auto"/>
                <w:bottom w:val="none" w:sz="0" w:space="0" w:color="auto"/>
                <w:right w:val="none" w:sz="0" w:space="0" w:color="auto"/>
              </w:divBdr>
            </w:div>
          </w:divsChild>
        </w:div>
        <w:div w:id="600840293">
          <w:marLeft w:val="0"/>
          <w:marRight w:val="0"/>
          <w:marTop w:val="0"/>
          <w:marBottom w:val="0"/>
          <w:divBdr>
            <w:top w:val="none" w:sz="0" w:space="0" w:color="auto"/>
            <w:left w:val="none" w:sz="0" w:space="0" w:color="auto"/>
            <w:bottom w:val="none" w:sz="0" w:space="0" w:color="auto"/>
            <w:right w:val="none" w:sz="0" w:space="0" w:color="auto"/>
          </w:divBdr>
          <w:divsChild>
            <w:div w:id="335497000">
              <w:marLeft w:val="0"/>
              <w:marRight w:val="0"/>
              <w:marTop w:val="120"/>
              <w:marBottom w:val="0"/>
              <w:divBdr>
                <w:top w:val="none" w:sz="0" w:space="0" w:color="auto"/>
                <w:left w:val="none" w:sz="0" w:space="0" w:color="auto"/>
                <w:bottom w:val="none" w:sz="0" w:space="0" w:color="auto"/>
                <w:right w:val="none" w:sz="0" w:space="0" w:color="auto"/>
              </w:divBdr>
            </w:div>
            <w:div w:id="788014263">
              <w:marLeft w:val="0"/>
              <w:marRight w:val="0"/>
              <w:marTop w:val="0"/>
              <w:marBottom w:val="0"/>
              <w:divBdr>
                <w:top w:val="none" w:sz="0" w:space="0" w:color="auto"/>
                <w:left w:val="none" w:sz="0" w:space="0" w:color="auto"/>
                <w:bottom w:val="none" w:sz="0" w:space="0" w:color="auto"/>
                <w:right w:val="none" w:sz="0" w:space="0" w:color="auto"/>
              </w:divBdr>
              <w:divsChild>
                <w:div w:id="1970746632">
                  <w:marLeft w:val="0"/>
                  <w:marRight w:val="0"/>
                  <w:marTop w:val="0"/>
                  <w:marBottom w:val="0"/>
                  <w:divBdr>
                    <w:top w:val="none" w:sz="0" w:space="0" w:color="auto"/>
                    <w:left w:val="none" w:sz="0" w:space="0" w:color="auto"/>
                    <w:bottom w:val="none" w:sz="0" w:space="0" w:color="auto"/>
                    <w:right w:val="none" w:sz="0" w:space="0" w:color="auto"/>
                  </w:divBdr>
                  <w:divsChild>
                    <w:div w:id="1710762368">
                      <w:marLeft w:val="0"/>
                      <w:marRight w:val="0"/>
                      <w:marTop w:val="120"/>
                      <w:marBottom w:val="0"/>
                      <w:divBdr>
                        <w:top w:val="none" w:sz="0" w:space="0" w:color="auto"/>
                        <w:left w:val="none" w:sz="0" w:space="0" w:color="auto"/>
                        <w:bottom w:val="none" w:sz="0" w:space="0" w:color="auto"/>
                        <w:right w:val="none" w:sz="0" w:space="0" w:color="auto"/>
                      </w:divBdr>
                    </w:div>
                    <w:div w:id="506864809">
                      <w:marLeft w:val="0"/>
                      <w:marRight w:val="0"/>
                      <w:marTop w:val="0"/>
                      <w:marBottom w:val="0"/>
                      <w:divBdr>
                        <w:top w:val="none" w:sz="0" w:space="0" w:color="auto"/>
                        <w:left w:val="none" w:sz="0" w:space="0" w:color="auto"/>
                        <w:bottom w:val="none" w:sz="0" w:space="0" w:color="auto"/>
                        <w:right w:val="none" w:sz="0" w:space="0" w:color="auto"/>
                      </w:divBdr>
                    </w:div>
                  </w:divsChild>
                </w:div>
                <w:div w:id="1997104866">
                  <w:marLeft w:val="0"/>
                  <w:marRight w:val="0"/>
                  <w:marTop w:val="0"/>
                  <w:marBottom w:val="0"/>
                  <w:divBdr>
                    <w:top w:val="none" w:sz="0" w:space="0" w:color="auto"/>
                    <w:left w:val="none" w:sz="0" w:space="0" w:color="auto"/>
                    <w:bottom w:val="none" w:sz="0" w:space="0" w:color="auto"/>
                    <w:right w:val="none" w:sz="0" w:space="0" w:color="auto"/>
                  </w:divBdr>
                  <w:divsChild>
                    <w:div w:id="2106924909">
                      <w:marLeft w:val="0"/>
                      <w:marRight w:val="0"/>
                      <w:marTop w:val="120"/>
                      <w:marBottom w:val="0"/>
                      <w:divBdr>
                        <w:top w:val="none" w:sz="0" w:space="0" w:color="auto"/>
                        <w:left w:val="none" w:sz="0" w:space="0" w:color="auto"/>
                        <w:bottom w:val="none" w:sz="0" w:space="0" w:color="auto"/>
                        <w:right w:val="none" w:sz="0" w:space="0" w:color="auto"/>
                      </w:divBdr>
                    </w:div>
                    <w:div w:id="22092838">
                      <w:marLeft w:val="0"/>
                      <w:marRight w:val="0"/>
                      <w:marTop w:val="0"/>
                      <w:marBottom w:val="0"/>
                      <w:divBdr>
                        <w:top w:val="none" w:sz="0" w:space="0" w:color="auto"/>
                        <w:left w:val="none" w:sz="0" w:space="0" w:color="auto"/>
                        <w:bottom w:val="none" w:sz="0" w:space="0" w:color="auto"/>
                        <w:right w:val="none" w:sz="0" w:space="0" w:color="auto"/>
                      </w:divBdr>
                      <w:divsChild>
                        <w:div w:id="1094976494">
                          <w:marLeft w:val="0"/>
                          <w:marRight w:val="0"/>
                          <w:marTop w:val="0"/>
                          <w:marBottom w:val="0"/>
                          <w:divBdr>
                            <w:top w:val="none" w:sz="0" w:space="0" w:color="auto"/>
                            <w:left w:val="none" w:sz="0" w:space="0" w:color="auto"/>
                            <w:bottom w:val="none" w:sz="0" w:space="0" w:color="auto"/>
                            <w:right w:val="none" w:sz="0" w:space="0" w:color="auto"/>
                          </w:divBdr>
                          <w:divsChild>
                            <w:div w:id="631399372">
                              <w:marLeft w:val="0"/>
                              <w:marRight w:val="0"/>
                              <w:marTop w:val="120"/>
                              <w:marBottom w:val="0"/>
                              <w:divBdr>
                                <w:top w:val="none" w:sz="0" w:space="0" w:color="auto"/>
                                <w:left w:val="none" w:sz="0" w:space="0" w:color="auto"/>
                                <w:bottom w:val="none" w:sz="0" w:space="0" w:color="auto"/>
                                <w:right w:val="none" w:sz="0" w:space="0" w:color="auto"/>
                              </w:divBdr>
                            </w:div>
                            <w:div w:id="750808313">
                              <w:marLeft w:val="0"/>
                              <w:marRight w:val="0"/>
                              <w:marTop w:val="0"/>
                              <w:marBottom w:val="0"/>
                              <w:divBdr>
                                <w:top w:val="none" w:sz="0" w:space="0" w:color="auto"/>
                                <w:left w:val="none" w:sz="0" w:space="0" w:color="auto"/>
                                <w:bottom w:val="none" w:sz="0" w:space="0" w:color="auto"/>
                                <w:right w:val="none" w:sz="0" w:space="0" w:color="auto"/>
                              </w:divBdr>
                            </w:div>
                          </w:divsChild>
                        </w:div>
                        <w:div w:id="574975529">
                          <w:marLeft w:val="0"/>
                          <w:marRight w:val="0"/>
                          <w:marTop w:val="0"/>
                          <w:marBottom w:val="0"/>
                          <w:divBdr>
                            <w:top w:val="none" w:sz="0" w:space="0" w:color="auto"/>
                            <w:left w:val="none" w:sz="0" w:space="0" w:color="auto"/>
                            <w:bottom w:val="none" w:sz="0" w:space="0" w:color="auto"/>
                            <w:right w:val="none" w:sz="0" w:space="0" w:color="auto"/>
                          </w:divBdr>
                          <w:divsChild>
                            <w:div w:id="1022704664">
                              <w:marLeft w:val="0"/>
                              <w:marRight w:val="0"/>
                              <w:marTop w:val="120"/>
                              <w:marBottom w:val="0"/>
                              <w:divBdr>
                                <w:top w:val="none" w:sz="0" w:space="0" w:color="auto"/>
                                <w:left w:val="none" w:sz="0" w:space="0" w:color="auto"/>
                                <w:bottom w:val="none" w:sz="0" w:space="0" w:color="auto"/>
                                <w:right w:val="none" w:sz="0" w:space="0" w:color="auto"/>
                              </w:divBdr>
                            </w:div>
                            <w:div w:id="2128497673">
                              <w:marLeft w:val="0"/>
                              <w:marRight w:val="0"/>
                              <w:marTop w:val="0"/>
                              <w:marBottom w:val="0"/>
                              <w:divBdr>
                                <w:top w:val="none" w:sz="0" w:space="0" w:color="auto"/>
                                <w:left w:val="none" w:sz="0" w:space="0" w:color="auto"/>
                                <w:bottom w:val="none" w:sz="0" w:space="0" w:color="auto"/>
                                <w:right w:val="none" w:sz="0" w:space="0" w:color="auto"/>
                              </w:divBdr>
                            </w:div>
                          </w:divsChild>
                        </w:div>
                        <w:div w:id="217862280">
                          <w:marLeft w:val="0"/>
                          <w:marRight w:val="0"/>
                          <w:marTop w:val="0"/>
                          <w:marBottom w:val="0"/>
                          <w:divBdr>
                            <w:top w:val="none" w:sz="0" w:space="0" w:color="auto"/>
                            <w:left w:val="none" w:sz="0" w:space="0" w:color="auto"/>
                            <w:bottom w:val="none" w:sz="0" w:space="0" w:color="auto"/>
                            <w:right w:val="none" w:sz="0" w:space="0" w:color="auto"/>
                          </w:divBdr>
                          <w:divsChild>
                            <w:div w:id="1312179692">
                              <w:marLeft w:val="0"/>
                              <w:marRight w:val="0"/>
                              <w:marTop w:val="120"/>
                              <w:marBottom w:val="0"/>
                              <w:divBdr>
                                <w:top w:val="none" w:sz="0" w:space="0" w:color="auto"/>
                                <w:left w:val="none" w:sz="0" w:space="0" w:color="auto"/>
                                <w:bottom w:val="none" w:sz="0" w:space="0" w:color="auto"/>
                                <w:right w:val="none" w:sz="0" w:space="0" w:color="auto"/>
                              </w:divBdr>
                            </w:div>
                            <w:div w:id="308558349">
                              <w:marLeft w:val="0"/>
                              <w:marRight w:val="0"/>
                              <w:marTop w:val="0"/>
                              <w:marBottom w:val="0"/>
                              <w:divBdr>
                                <w:top w:val="none" w:sz="0" w:space="0" w:color="auto"/>
                                <w:left w:val="none" w:sz="0" w:space="0" w:color="auto"/>
                                <w:bottom w:val="none" w:sz="0" w:space="0" w:color="auto"/>
                                <w:right w:val="none" w:sz="0" w:space="0" w:color="auto"/>
                              </w:divBdr>
                            </w:div>
                          </w:divsChild>
                        </w:div>
                        <w:div w:id="1565873823">
                          <w:marLeft w:val="0"/>
                          <w:marRight w:val="0"/>
                          <w:marTop w:val="0"/>
                          <w:marBottom w:val="0"/>
                          <w:divBdr>
                            <w:top w:val="none" w:sz="0" w:space="0" w:color="auto"/>
                            <w:left w:val="none" w:sz="0" w:space="0" w:color="auto"/>
                            <w:bottom w:val="none" w:sz="0" w:space="0" w:color="auto"/>
                            <w:right w:val="none" w:sz="0" w:space="0" w:color="auto"/>
                          </w:divBdr>
                          <w:divsChild>
                            <w:div w:id="72899669">
                              <w:marLeft w:val="0"/>
                              <w:marRight w:val="0"/>
                              <w:marTop w:val="120"/>
                              <w:marBottom w:val="0"/>
                              <w:divBdr>
                                <w:top w:val="none" w:sz="0" w:space="0" w:color="auto"/>
                                <w:left w:val="none" w:sz="0" w:space="0" w:color="auto"/>
                                <w:bottom w:val="none" w:sz="0" w:space="0" w:color="auto"/>
                                <w:right w:val="none" w:sz="0" w:space="0" w:color="auto"/>
                              </w:divBdr>
                            </w:div>
                            <w:div w:id="1179151280">
                              <w:marLeft w:val="0"/>
                              <w:marRight w:val="0"/>
                              <w:marTop w:val="0"/>
                              <w:marBottom w:val="0"/>
                              <w:divBdr>
                                <w:top w:val="none" w:sz="0" w:space="0" w:color="auto"/>
                                <w:left w:val="none" w:sz="0" w:space="0" w:color="auto"/>
                                <w:bottom w:val="none" w:sz="0" w:space="0" w:color="auto"/>
                                <w:right w:val="none" w:sz="0" w:space="0" w:color="auto"/>
                              </w:divBdr>
                            </w:div>
                          </w:divsChild>
                        </w:div>
                        <w:div w:id="2001885470">
                          <w:marLeft w:val="0"/>
                          <w:marRight w:val="0"/>
                          <w:marTop w:val="0"/>
                          <w:marBottom w:val="0"/>
                          <w:divBdr>
                            <w:top w:val="none" w:sz="0" w:space="0" w:color="auto"/>
                            <w:left w:val="none" w:sz="0" w:space="0" w:color="auto"/>
                            <w:bottom w:val="none" w:sz="0" w:space="0" w:color="auto"/>
                            <w:right w:val="none" w:sz="0" w:space="0" w:color="auto"/>
                          </w:divBdr>
                          <w:divsChild>
                            <w:div w:id="829178233">
                              <w:marLeft w:val="0"/>
                              <w:marRight w:val="0"/>
                              <w:marTop w:val="120"/>
                              <w:marBottom w:val="0"/>
                              <w:divBdr>
                                <w:top w:val="none" w:sz="0" w:space="0" w:color="auto"/>
                                <w:left w:val="none" w:sz="0" w:space="0" w:color="auto"/>
                                <w:bottom w:val="none" w:sz="0" w:space="0" w:color="auto"/>
                                <w:right w:val="none" w:sz="0" w:space="0" w:color="auto"/>
                              </w:divBdr>
                            </w:div>
                            <w:div w:id="16164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58211">
                  <w:marLeft w:val="0"/>
                  <w:marRight w:val="0"/>
                  <w:marTop w:val="0"/>
                  <w:marBottom w:val="0"/>
                  <w:divBdr>
                    <w:top w:val="none" w:sz="0" w:space="0" w:color="auto"/>
                    <w:left w:val="none" w:sz="0" w:space="0" w:color="auto"/>
                    <w:bottom w:val="none" w:sz="0" w:space="0" w:color="auto"/>
                    <w:right w:val="none" w:sz="0" w:space="0" w:color="auto"/>
                  </w:divBdr>
                  <w:divsChild>
                    <w:div w:id="262762308">
                      <w:marLeft w:val="0"/>
                      <w:marRight w:val="0"/>
                      <w:marTop w:val="120"/>
                      <w:marBottom w:val="0"/>
                      <w:divBdr>
                        <w:top w:val="none" w:sz="0" w:space="0" w:color="auto"/>
                        <w:left w:val="none" w:sz="0" w:space="0" w:color="auto"/>
                        <w:bottom w:val="none" w:sz="0" w:space="0" w:color="auto"/>
                        <w:right w:val="none" w:sz="0" w:space="0" w:color="auto"/>
                      </w:divBdr>
                    </w:div>
                    <w:div w:id="10135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7530">
          <w:marLeft w:val="0"/>
          <w:marRight w:val="0"/>
          <w:marTop w:val="0"/>
          <w:marBottom w:val="0"/>
          <w:divBdr>
            <w:top w:val="none" w:sz="0" w:space="0" w:color="auto"/>
            <w:left w:val="none" w:sz="0" w:space="0" w:color="auto"/>
            <w:bottom w:val="none" w:sz="0" w:space="0" w:color="auto"/>
            <w:right w:val="none" w:sz="0" w:space="0" w:color="auto"/>
          </w:divBdr>
          <w:divsChild>
            <w:div w:id="1603954955">
              <w:marLeft w:val="0"/>
              <w:marRight w:val="0"/>
              <w:marTop w:val="120"/>
              <w:marBottom w:val="0"/>
              <w:divBdr>
                <w:top w:val="none" w:sz="0" w:space="0" w:color="auto"/>
                <w:left w:val="none" w:sz="0" w:space="0" w:color="auto"/>
                <w:bottom w:val="none" w:sz="0" w:space="0" w:color="auto"/>
                <w:right w:val="none" w:sz="0" w:space="0" w:color="auto"/>
              </w:divBdr>
            </w:div>
            <w:div w:id="1831673529">
              <w:marLeft w:val="0"/>
              <w:marRight w:val="0"/>
              <w:marTop w:val="0"/>
              <w:marBottom w:val="0"/>
              <w:divBdr>
                <w:top w:val="none" w:sz="0" w:space="0" w:color="auto"/>
                <w:left w:val="none" w:sz="0" w:space="0" w:color="auto"/>
                <w:bottom w:val="none" w:sz="0" w:space="0" w:color="auto"/>
                <w:right w:val="none" w:sz="0" w:space="0" w:color="auto"/>
              </w:divBdr>
              <w:divsChild>
                <w:div w:id="16816157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19430799">
          <w:marLeft w:val="0"/>
          <w:marRight w:val="0"/>
          <w:marTop w:val="0"/>
          <w:marBottom w:val="0"/>
          <w:divBdr>
            <w:top w:val="none" w:sz="0" w:space="0" w:color="auto"/>
            <w:left w:val="none" w:sz="0" w:space="0" w:color="auto"/>
            <w:bottom w:val="none" w:sz="0" w:space="0" w:color="auto"/>
            <w:right w:val="none" w:sz="0" w:space="0" w:color="auto"/>
          </w:divBdr>
          <w:divsChild>
            <w:div w:id="2022584506">
              <w:marLeft w:val="0"/>
              <w:marRight w:val="0"/>
              <w:marTop w:val="120"/>
              <w:marBottom w:val="0"/>
              <w:divBdr>
                <w:top w:val="none" w:sz="0" w:space="0" w:color="auto"/>
                <w:left w:val="none" w:sz="0" w:space="0" w:color="auto"/>
                <w:bottom w:val="none" w:sz="0" w:space="0" w:color="auto"/>
                <w:right w:val="none" w:sz="0" w:space="0" w:color="auto"/>
              </w:divBdr>
            </w:div>
            <w:div w:id="1904488878">
              <w:marLeft w:val="0"/>
              <w:marRight w:val="0"/>
              <w:marTop w:val="0"/>
              <w:marBottom w:val="0"/>
              <w:divBdr>
                <w:top w:val="none" w:sz="0" w:space="0" w:color="auto"/>
                <w:left w:val="none" w:sz="0" w:space="0" w:color="auto"/>
                <w:bottom w:val="none" w:sz="0" w:space="0" w:color="auto"/>
                <w:right w:val="none" w:sz="0" w:space="0" w:color="auto"/>
              </w:divBdr>
              <w:divsChild>
                <w:div w:id="1401173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52744701">
          <w:marLeft w:val="0"/>
          <w:marRight w:val="0"/>
          <w:marTop w:val="0"/>
          <w:marBottom w:val="0"/>
          <w:divBdr>
            <w:top w:val="none" w:sz="0" w:space="0" w:color="auto"/>
            <w:left w:val="none" w:sz="0" w:space="0" w:color="auto"/>
            <w:bottom w:val="none" w:sz="0" w:space="0" w:color="auto"/>
            <w:right w:val="none" w:sz="0" w:space="0" w:color="auto"/>
          </w:divBdr>
          <w:divsChild>
            <w:div w:id="2131703928">
              <w:marLeft w:val="0"/>
              <w:marRight w:val="0"/>
              <w:marTop w:val="120"/>
              <w:marBottom w:val="0"/>
              <w:divBdr>
                <w:top w:val="none" w:sz="0" w:space="0" w:color="auto"/>
                <w:left w:val="none" w:sz="0" w:space="0" w:color="auto"/>
                <w:bottom w:val="none" w:sz="0" w:space="0" w:color="auto"/>
                <w:right w:val="none" w:sz="0" w:space="0" w:color="auto"/>
              </w:divBdr>
            </w:div>
            <w:div w:id="375786082">
              <w:marLeft w:val="0"/>
              <w:marRight w:val="0"/>
              <w:marTop w:val="0"/>
              <w:marBottom w:val="0"/>
              <w:divBdr>
                <w:top w:val="none" w:sz="0" w:space="0" w:color="auto"/>
                <w:left w:val="none" w:sz="0" w:space="0" w:color="auto"/>
                <w:bottom w:val="none" w:sz="0" w:space="0" w:color="auto"/>
                <w:right w:val="none" w:sz="0" w:space="0" w:color="auto"/>
              </w:divBdr>
              <w:divsChild>
                <w:div w:id="17405200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51825211">
          <w:marLeft w:val="0"/>
          <w:marRight w:val="0"/>
          <w:marTop w:val="0"/>
          <w:marBottom w:val="0"/>
          <w:divBdr>
            <w:top w:val="none" w:sz="0" w:space="0" w:color="auto"/>
            <w:left w:val="none" w:sz="0" w:space="0" w:color="auto"/>
            <w:bottom w:val="none" w:sz="0" w:space="0" w:color="auto"/>
            <w:right w:val="none" w:sz="0" w:space="0" w:color="auto"/>
          </w:divBdr>
          <w:divsChild>
            <w:div w:id="931275891">
              <w:marLeft w:val="0"/>
              <w:marRight w:val="0"/>
              <w:marTop w:val="120"/>
              <w:marBottom w:val="0"/>
              <w:divBdr>
                <w:top w:val="none" w:sz="0" w:space="0" w:color="auto"/>
                <w:left w:val="none" w:sz="0" w:space="0" w:color="auto"/>
                <w:bottom w:val="none" w:sz="0" w:space="0" w:color="auto"/>
                <w:right w:val="none" w:sz="0" w:space="0" w:color="auto"/>
              </w:divBdr>
            </w:div>
            <w:div w:id="630019616">
              <w:marLeft w:val="0"/>
              <w:marRight w:val="0"/>
              <w:marTop w:val="0"/>
              <w:marBottom w:val="0"/>
              <w:divBdr>
                <w:top w:val="none" w:sz="0" w:space="0" w:color="auto"/>
                <w:left w:val="none" w:sz="0" w:space="0" w:color="auto"/>
                <w:bottom w:val="none" w:sz="0" w:space="0" w:color="auto"/>
                <w:right w:val="none" w:sz="0" w:space="0" w:color="auto"/>
              </w:divBdr>
              <w:divsChild>
                <w:div w:id="1562213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42381480">
          <w:marLeft w:val="0"/>
          <w:marRight w:val="0"/>
          <w:marTop w:val="0"/>
          <w:marBottom w:val="0"/>
          <w:divBdr>
            <w:top w:val="none" w:sz="0" w:space="0" w:color="auto"/>
            <w:left w:val="none" w:sz="0" w:space="0" w:color="auto"/>
            <w:bottom w:val="none" w:sz="0" w:space="0" w:color="auto"/>
            <w:right w:val="none" w:sz="0" w:space="0" w:color="auto"/>
          </w:divBdr>
          <w:divsChild>
            <w:div w:id="1585452360">
              <w:marLeft w:val="0"/>
              <w:marRight w:val="0"/>
              <w:marTop w:val="120"/>
              <w:marBottom w:val="0"/>
              <w:divBdr>
                <w:top w:val="none" w:sz="0" w:space="0" w:color="auto"/>
                <w:left w:val="none" w:sz="0" w:space="0" w:color="auto"/>
                <w:bottom w:val="none" w:sz="0" w:space="0" w:color="auto"/>
                <w:right w:val="none" w:sz="0" w:space="0" w:color="auto"/>
              </w:divBdr>
            </w:div>
            <w:div w:id="2090153941">
              <w:marLeft w:val="0"/>
              <w:marRight w:val="0"/>
              <w:marTop w:val="0"/>
              <w:marBottom w:val="0"/>
              <w:divBdr>
                <w:top w:val="none" w:sz="0" w:space="0" w:color="auto"/>
                <w:left w:val="none" w:sz="0" w:space="0" w:color="auto"/>
                <w:bottom w:val="none" w:sz="0" w:space="0" w:color="auto"/>
                <w:right w:val="none" w:sz="0" w:space="0" w:color="auto"/>
              </w:divBdr>
              <w:divsChild>
                <w:div w:id="19817650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4143242">
          <w:marLeft w:val="0"/>
          <w:marRight w:val="0"/>
          <w:marTop w:val="0"/>
          <w:marBottom w:val="0"/>
          <w:divBdr>
            <w:top w:val="none" w:sz="0" w:space="0" w:color="auto"/>
            <w:left w:val="none" w:sz="0" w:space="0" w:color="auto"/>
            <w:bottom w:val="none" w:sz="0" w:space="0" w:color="auto"/>
            <w:right w:val="none" w:sz="0" w:space="0" w:color="auto"/>
          </w:divBdr>
          <w:divsChild>
            <w:div w:id="830869827">
              <w:marLeft w:val="0"/>
              <w:marRight w:val="0"/>
              <w:marTop w:val="120"/>
              <w:marBottom w:val="0"/>
              <w:divBdr>
                <w:top w:val="none" w:sz="0" w:space="0" w:color="auto"/>
                <w:left w:val="none" w:sz="0" w:space="0" w:color="auto"/>
                <w:bottom w:val="none" w:sz="0" w:space="0" w:color="auto"/>
                <w:right w:val="none" w:sz="0" w:space="0" w:color="auto"/>
              </w:divBdr>
            </w:div>
            <w:div w:id="2082369130">
              <w:marLeft w:val="0"/>
              <w:marRight w:val="0"/>
              <w:marTop w:val="0"/>
              <w:marBottom w:val="0"/>
              <w:divBdr>
                <w:top w:val="none" w:sz="0" w:space="0" w:color="auto"/>
                <w:left w:val="none" w:sz="0" w:space="0" w:color="auto"/>
                <w:bottom w:val="none" w:sz="0" w:space="0" w:color="auto"/>
                <w:right w:val="none" w:sz="0" w:space="0" w:color="auto"/>
              </w:divBdr>
              <w:divsChild>
                <w:div w:id="105408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09779487">
          <w:marLeft w:val="0"/>
          <w:marRight w:val="0"/>
          <w:marTop w:val="0"/>
          <w:marBottom w:val="0"/>
          <w:divBdr>
            <w:top w:val="none" w:sz="0" w:space="0" w:color="auto"/>
            <w:left w:val="none" w:sz="0" w:space="0" w:color="auto"/>
            <w:bottom w:val="none" w:sz="0" w:space="0" w:color="auto"/>
            <w:right w:val="none" w:sz="0" w:space="0" w:color="auto"/>
          </w:divBdr>
          <w:divsChild>
            <w:div w:id="272325659">
              <w:marLeft w:val="0"/>
              <w:marRight w:val="0"/>
              <w:marTop w:val="120"/>
              <w:marBottom w:val="0"/>
              <w:divBdr>
                <w:top w:val="none" w:sz="0" w:space="0" w:color="auto"/>
                <w:left w:val="none" w:sz="0" w:space="0" w:color="auto"/>
                <w:bottom w:val="none" w:sz="0" w:space="0" w:color="auto"/>
                <w:right w:val="none" w:sz="0" w:space="0" w:color="auto"/>
              </w:divBdr>
            </w:div>
            <w:div w:id="964702356">
              <w:marLeft w:val="0"/>
              <w:marRight w:val="0"/>
              <w:marTop w:val="0"/>
              <w:marBottom w:val="0"/>
              <w:divBdr>
                <w:top w:val="none" w:sz="0" w:space="0" w:color="auto"/>
                <w:left w:val="none" w:sz="0" w:space="0" w:color="auto"/>
                <w:bottom w:val="none" w:sz="0" w:space="0" w:color="auto"/>
                <w:right w:val="none" w:sz="0" w:space="0" w:color="auto"/>
              </w:divBdr>
              <w:divsChild>
                <w:div w:id="6577287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98590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40703.259009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BDBA2-DC49-4658-8178-BD96AFA4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30632</Words>
  <Characters>174608</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204831</CharactersWithSpaces>
  <SharedDoc>false</SharedDoc>
  <HLinks>
    <vt:vector size="918" baseType="variant">
      <vt:variant>
        <vt:i4>524384</vt:i4>
      </vt:variant>
      <vt:variant>
        <vt:i4>453</vt:i4>
      </vt:variant>
      <vt:variant>
        <vt:i4>0</vt:i4>
      </vt:variant>
      <vt:variant>
        <vt:i4>5</vt:i4>
      </vt:variant>
      <vt:variant>
        <vt:lpwstr>https://eur-lex.europa.eu/legal-content/RO/TXT/HTML/?uri=OJ:L:2018:328:FULL&amp;from=RO</vt:lpwstr>
      </vt:variant>
      <vt:variant>
        <vt:lpwstr>ntc22-L_2018328RO.01017201-E0028</vt:lpwstr>
      </vt:variant>
      <vt:variant>
        <vt:i4>458851</vt:i4>
      </vt:variant>
      <vt:variant>
        <vt:i4>450</vt:i4>
      </vt:variant>
      <vt:variant>
        <vt:i4>0</vt:i4>
      </vt:variant>
      <vt:variant>
        <vt:i4>5</vt:i4>
      </vt:variant>
      <vt:variant>
        <vt:lpwstr>https://eur-lex.europa.eu/legal-content/RO/TXT/HTML/?uri=OJ:L:2018:328:FULL&amp;from=RO</vt:lpwstr>
      </vt:variant>
      <vt:variant>
        <vt:lpwstr>ntc21-L_2018328RO.01017201-E0027</vt:lpwstr>
      </vt:variant>
      <vt:variant>
        <vt:i4>393314</vt:i4>
      </vt:variant>
      <vt:variant>
        <vt:i4>447</vt:i4>
      </vt:variant>
      <vt:variant>
        <vt:i4>0</vt:i4>
      </vt:variant>
      <vt:variant>
        <vt:i4>5</vt:i4>
      </vt:variant>
      <vt:variant>
        <vt:lpwstr>https://eur-lex.europa.eu/legal-content/RO/TXT/HTML/?uri=OJ:L:2018:328:FULL&amp;from=RO</vt:lpwstr>
      </vt:variant>
      <vt:variant>
        <vt:lpwstr>ntc20-L_2018328RO.01017201-E0026</vt:lpwstr>
      </vt:variant>
      <vt:variant>
        <vt:i4>393323</vt:i4>
      </vt:variant>
      <vt:variant>
        <vt:i4>444</vt:i4>
      </vt:variant>
      <vt:variant>
        <vt:i4>0</vt:i4>
      </vt:variant>
      <vt:variant>
        <vt:i4>5</vt:i4>
      </vt:variant>
      <vt:variant>
        <vt:lpwstr>https://eur-lex.europa.eu/legal-content/RO/TXT/HTML/?uri=OJ:L:2018:328:FULL&amp;from=RO</vt:lpwstr>
      </vt:variant>
      <vt:variant>
        <vt:lpwstr>ntc19-L_2018328RO.01017201-E0025</vt:lpwstr>
      </vt:variant>
      <vt:variant>
        <vt:i4>458858</vt:i4>
      </vt:variant>
      <vt:variant>
        <vt:i4>441</vt:i4>
      </vt:variant>
      <vt:variant>
        <vt:i4>0</vt:i4>
      </vt:variant>
      <vt:variant>
        <vt:i4>5</vt:i4>
      </vt:variant>
      <vt:variant>
        <vt:lpwstr>https://eur-lex.europa.eu/legal-content/RO/TXT/HTML/?uri=OJ:L:2018:328:FULL&amp;from=RO</vt:lpwstr>
      </vt:variant>
      <vt:variant>
        <vt:lpwstr>ntc18-L_2018328RO.01017201-E0024</vt:lpwstr>
      </vt:variant>
      <vt:variant>
        <vt:i4>101</vt:i4>
      </vt:variant>
      <vt:variant>
        <vt:i4>438</vt:i4>
      </vt:variant>
      <vt:variant>
        <vt:i4>0</vt:i4>
      </vt:variant>
      <vt:variant>
        <vt:i4>5</vt:i4>
      </vt:variant>
      <vt:variant>
        <vt:lpwstr>https://eur-lex.europa.eu/legal-content/RO/TXT/HTML/?uri=OJ:L:2018:328:FULL&amp;from=RO</vt:lpwstr>
      </vt:variant>
      <vt:variant>
        <vt:lpwstr>ntc17-L_2018328RO.01017201-E0023</vt:lpwstr>
      </vt:variant>
      <vt:variant>
        <vt:i4>65636</vt:i4>
      </vt:variant>
      <vt:variant>
        <vt:i4>435</vt:i4>
      </vt:variant>
      <vt:variant>
        <vt:i4>0</vt:i4>
      </vt:variant>
      <vt:variant>
        <vt:i4>5</vt:i4>
      </vt:variant>
      <vt:variant>
        <vt:lpwstr>https://eur-lex.europa.eu/legal-content/RO/TXT/HTML/?uri=OJ:L:2018:328:FULL&amp;from=RO</vt:lpwstr>
      </vt:variant>
      <vt:variant>
        <vt:lpwstr>ntc16-L_2018328RO.01017201-E0022</vt:lpwstr>
      </vt:variant>
      <vt:variant>
        <vt:i4>131175</vt:i4>
      </vt:variant>
      <vt:variant>
        <vt:i4>432</vt:i4>
      </vt:variant>
      <vt:variant>
        <vt:i4>0</vt:i4>
      </vt:variant>
      <vt:variant>
        <vt:i4>5</vt:i4>
      </vt:variant>
      <vt:variant>
        <vt:lpwstr>https://eur-lex.europa.eu/legal-content/RO/TXT/HTML/?uri=OJ:L:2018:328:FULL&amp;from=RO</vt:lpwstr>
      </vt:variant>
      <vt:variant>
        <vt:lpwstr>ntc15-L_2018328RO.01017201-E0021</vt:lpwstr>
      </vt:variant>
      <vt:variant>
        <vt:i4>196710</vt:i4>
      </vt:variant>
      <vt:variant>
        <vt:i4>429</vt:i4>
      </vt:variant>
      <vt:variant>
        <vt:i4>0</vt:i4>
      </vt:variant>
      <vt:variant>
        <vt:i4>5</vt:i4>
      </vt:variant>
      <vt:variant>
        <vt:lpwstr>https://eur-lex.europa.eu/legal-content/RO/TXT/HTML/?uri=OJ:L:2018:328:FULL&amp;from=RO</vt:lpwstr>
      </vt:variant>
      <vt:variant>
        <vt:lpwstr>ntc14-L_2018328RO.01017201-E0020</vt:lpwstr>
      </vt:variant>
      <vt:variant>
        <vt:i4>90</vt:i4>
      </vt:variant>
      <vt:variant>
        <vt:i4>426</vt:i4>
      </vt:variant>
      <vt:variant>
        <vt:i4>0</vt:i4>
      </vt:variant>
      <vt:variant>
        <vt:i4>5</vt:i4>
      </vt:variant>
      <vt:variant>
        <vt:lpwstr>https://eur-lex.europa.eu/legal-content/RO/AUTO/?uri=OJ:L:2010:151:TOC&amp;toc=OJ:L:2018:328:FULL</vt:lpwstr>
      </vt:variant>
      <vt:variant>
        <vt:lpwstr/>
      </vt:variant>
      <vt:variant>
        <vt:i4>655458</vt:i4>
      </vt:variant>
      <vt:variant>
        <vt:i4>423</vt:i4>
      </vt:variant>
      <vt:variant>
        <vt:i4>0</vt:i4>
      </vt:variant>
      <vt:variant>
        <vt:i4>5</vt:i4>
      </vt:variant>
      <vt:variant>
        <vt:lpwstr>https://eur-lex.europa.eu/legal-content/RO/TXT/HTML/?uri=OJ:L:2018:328:FULL&amp;from=RO</vt:lpwstr>
      </vt:variant>
      <vt:variant>
        <vt:lpwstr>ntc13-L_2018328RO.01017201-E0019</vt:lpwstr>
      </vt:variant>
      <vt:variant>
        <vt:i4>720995</vt:i4>
      </vt:variant>
      <vt:variant>
        <vt:i4>420</vt:i4>
      </vt:variant>
      <vt:variant>
        <vt:i4>0</vt:i4>
      </vt:variant>
      <vt:variant>
        <vt:i4>5</vt:i4>
      </vt:variant>
      <vt:variant>
        <vt:lpwstr>https://eur-lex.europa.eu/legal-content/RO/TXT/HTML/?uri=OJ:L:2018:328:FULL&amp;from=RO</vt:lpwstr>
      </vt:variant>
      <vt:variant>
        <vt:lpwstr>ntc12-L_2018328RO.01017201-E0018</vt:lpwstr>
      </vt:variant>
      <vt:variant>
        <vt:i4>262240</vt:i4>
      </vt:variant>
      <vt:variant>
        <vt:i4>417</vt:i4>
      </vt:variant>
      <vt:variant>
        <vt:i4>0</vt:i4>
      </vt:variant>
      <vt:variant>
        <vt:i4>5</vt:i4>
      </vt:variant>
      <vt:variant>
        <vt:lpwstr>https://eur-lex.europa.eu/legal-content/RO/TXT/HTML/?uri=OJ:L:2018:328:FULL&amp;from=RO</vt:lpwstr>
      </vt:variant>
      <vt:variant>
        <vt:lpwstr>ntc11-L_2018328RO.01017201-E0017</vt:lpwstr>
      </vt:variant>
      <vt:variant>
        <vt:i4>327777</vt:i4>
      </vt:variant>
      <vt:variant>
        <vt:i4>414</vt:i4>
      </vt:variant>
      <vt:variant>
        <vt:i4>0</vt:i4>
      </vt:variant>
      <vt:variant>
        <vt:i4>5</vt:i4>
      </vt:variant>
      <vt:variant>
        <vt:lpwstr>https://eur-lex.europa.eu/legal-content/RO/TXT/HTML/?uri=OJ:L:2018:328:FULL&amp;from=RO</vt:lpwstr>
      </vt:variant>
      <vt:variant>
        <vt:lpwstr>ntc10-L_2018328RO.01017201-E0016</vt:lpwstr>
      </vt:variant>
      <vt:variant>
        <vt:i4>5832755</vt:i4>
      </vt:variant>
      <vt:variant>
        <vt:i4>411</vt:i4>
      </vt:variant>
      <vt:variant>
        <vt:i4>0</vt:i4>
      </vt:variant>
      <vt:variant>
        <vt:i4>5</vt:i4>
      </vt:variant>
      <vt:variant>
        <vt:lpwstr>https://eur-lex.europa.eu/legal-content/RO/TXT/HTML/?uri=OJ:L:2018:328:FULL&amp;from=RO</vt:lpwstr>
      </vt:variant>
      <vt:variant>
        <vt:lpwstr>ntc9-L_2018328RO.01017201-E0015</vt:lpwstr>
      </vt:variant>
      <vt:variant>
        <vt:i4>5767219</vt:i4>
      </vt:variant>
      <vt:variant>
        <vt:i4>408</vt:i4>
      </vt:variant>
      <vt:variant>
        <vt:i4>0</vt:i4>
      </vt:variant>
      <vt:variant>
        <vt:i4>5</vt:i4>
      </vt:variant>
      <vt:variant>
        <vt:lpwstr>https://eur-lex.europa.eu/legal-content/RO/TXT/HTML/?uri=OJ:L:2018:328:FULL&amp;from=RO</vt:lpwstr>
      </vt:variant>
      <vt:variant>
        <vt:lpwstr>ntc8-L_2018328RO.01017201-E0014</vt:lpwstr>
      </vt:variant>
      <vt:variant>
        <vt:i4>5701683</vt:i4>
      </vt:variant>
      <vt:variant>
        <vt:i4>405</vt:i4>
      </vt:variant>
      <vt:variant>
        <vt:i4>0</vt:i4>
      </vt:variant>
      <vt:variant>
        <vt:i4>5</vt:i4>
      </vt:variant>
      <vt:variant>
        <vt:lpwstr>https://eur-lex.europa.eu/legal-content/RO/TXT/HTML/?uri=OJ:L:2018:328:FULL&amp;from=RO</vt:lpwstr>
      </vt:variant>
      <vt:variant>
        <vt:lpwstr>ntc7-L_2018328RO.01017201-E0013</vt:lpwstr>
      </vt:variant>
      <vt:variant>
        <vt:i4>5636147</vt:i4>
      </vt:variant>
      <vt:variant>
        <vt:i4>402</vt:i4>
      </vt:variant>
      <vt:variant>
        <vt:i4>0</vt:i4>
      </vt:variant>
      <vt:variant>
        <vt:i4>5</vt:i4>
      </vt:variant>
      <vt:variant>
        <vt:lpwstr>https://eur-lex.europa.eu/legal-content/RO/TXT/HTML/?uri=OJ:L:2018:328:FULL&amp;from=RO</vt:lpwstr>
      </vt:variant>
      <vt:variant>
        <vt:lpwstr>ntc6-L_2018328RO.01017201-E0012</vt:lpwstr>
      </vt:variant>
      <vt:variant>
        <vt:i4>5570611</vt:i4>
      </vt:variant>
      <vt:variant>
        <vt:i4>399</vt:i4>
      </vt:variant>
      <vt:variant>
        <vt:i4>0</vt:i4>
      </vt:variant>
      <vt:variant>
        <vt:i4>5</vt:i4>
      </vt:variant>
      <vt:variant>
        <vt:lpwstr>https://eur-lex.europa.eu/legal-content/RO/TXT/HTML/?uri=OJ:L:2018:328:FULL&amp;from=RO</vt:lpwstr>
      </vt:variant>
      <vt:variant>
        <vt:lpwstr>ntc5-L_2018328RO.01017201-E0011</vt:lpwstr>
      </vt:variant>
      <vt:variant>
        <vt:i4>1572967</vt:i4>
      </vt:variant>
      <vt:variant>
        <vt:i4>396</vt:i4>
      </vt:variant>
      <vt:variant>
        <vt:i4>0</vt:i4>
      </vt:variant>
      <vt:variant>
        <vt:i4>5</vt:i4>
      </vt:variant>
      <vt:variant>
        <vt:lpwstr>https://eur-lex.europa.eu/legal-content/RO/TXT/HTML/?uri=OJ:L:2018:328:FULL&amp;from=RO</vt:lpwstr>
      </vt:variant>
      <vt:variant>
        <vt:lpwstr>ntc*6-L_2018328RO.01017201-E0010</vt:lpwstr>
      </vt:variant>
      <vt:variant>
        <vt:i4>1114213</vt:i4>
      </vt:variant>
      <vt:variant>
        <vt:i4>393</vt:i4>
      </vt:variant>
      <vt:variant>
        <vt:i4>0</vt:i4>
      </vt:variant>
      <vt:variant>
        <vt:i4>5</vt:i4>
      </vt:variant>
      <vt:variant>
        <vt:lpwstr>https://eur-lex.europa.eu/legal-content/RO/TXT/HTML/?uri=OJ:L:2018:328:FULL&amp;from=RO</vt:lpwstr>
      </vt:variant>
      <vt:variant>
        <vt:lpwstr>ntc*5-L_2018328RO.01017201-E0009</vt:lpwstr>
      </vt:variant>
      <vt:variant>
        <vt:i4>5570611</vt:i4>
      </vt:variant>
      <vt:variant>
        <vt:i4>390</vt:i4>
      </vt:variant>
      <vt:variant>
        <vt:i4>0</vt:i4>
      </vt:variant>
      <vt:variant>
        <vt:i4>5</vt:i4>
      </vt:variant>
      <vt:variant>
        <vt:lpwstr>https://eur-lex.europa.eu/legal-content/RO/TXT/HTML/?uri=OJ:L:2018:328:FULL&amp;from=RO</vt:lpwstr>
      </vt:variant>
      <vt:variant>
        <vt:lpwstr>ntc4-L_2018328RO.01017201-E0008</vt:lpwstr>
      </vt:variant>
      <vt:variant>
        <vt:i4>5374003</vt:i4>
      </vt:variant>
      <vt:variant>
        <vt:i4>387</vt:i4>
      </vt:variant>
      <vt:variant>
        <vt:i4>0</vt:i4>
      </vt:variant>
      <vt:variant>
        <vt:i4>5</vt:i4>
      </vt:variant>
      <vt:variant>
        <vt:lpwstr>https://eur-lex.europa.eu/legal-content/RO/TXT/HTML/?uri=OJ:L:2018:328:FULL&amp;from=RO</vt:lpwstr>
      </vt:variant>
      <vt:variant>
        <vt:lpwstr>ntc3-L_2018328RO.01017201-E0007</vt:lpwstr>
      </vt:variant>
      <vt:variant>
        <vt:i4>5439539</vt:i4>
      </vt:variant>
      <vt:variant>
        <vt:i4>384</vt:i4>
      </vt:variant>
      <vt:variant>
        <vt:i4>0</vt:i4>
      </vt:variant>
      <vt:variant>
        <vt:i4>5</vt:i4>
      </vt:variant>
      <vt:variant>
        <vt:lpwstr>https://eur-lex.europa.eu/legal-content/RO/TXT/HTML/?uri=OJ:L:2018:328:FULL&amp;from=RO</vt:lpwstr>
      </vt:variant>
      <vt:variant>
        <vt:lpwstr>ntc2-L_2018328RO.01017201-E0006</vt:lpwstr>
      </vt:variant>
      <vt:variant>
        <vt:i4>5242931</vt:i4>
      </vt:variant>
      <vt:variant>
        <vt:i4>381</vt:i4>
      </vt:variant>
      <vt:variant>
        <vt:i4>0</vt:i4>
      </vt:variant>
      <vt:variant>
        <vt:i4>5</vt:i4>
      </vt:variant>
      <vt:variant>
        <vt:lpwstr>https://eur-lex.europa.eu/legal-content/RO/TXT/HTML/?uri=OJ:L:2018:328:FULL&amp;from=RO</vt:lpwstr>
      </vt:variant>
      <vt:variant>
        <vt:lpwstr>ntc1-L_2018328RO.01017201-E0005</vt:lpwstr>
      </vt:variant>
      <vt:variant>
        <vt:i4>1835108</vt:i4>
      </vt:variant>
      <vt:variant>
        <vt:i4>378</vt:i4>
      </vt:variant>
      <vt:variant>
        <vt:i4>0</vt:i4>
      </vt:variant>
      <vt:variant>
        <vt:i4>5</vt:i4>
      </vt:variant>
      <vt:variant>
        <vt:lpwstr>https://eur-lex.europa.eu/legal-content/RO/TXT/HTML/?uri=OJ:L:2018:328:FULL&amp;from=RO</vt:lpwstr>
      </vt:variant>
      <vt:variant>
        <vt:lpwstr>ntc*4-L_2018328RO.01017201-E0004</vt:lpwstr>
      </vt:variant>
      <vt:variant>
        <vt:i4>1769571</vt:i4>
      </vt:variant>
      <vt:variant>
        <vt:i4>375</vt:i4>
      </vt:variant>
      <vt:variant>
        <vt:i4>0</vt:i4>
      </vt:variant>
      <vt:variant>
        <vt:i4>5</vt:i4>
      </vt:variant>
      <vt:variant>
        <vt:lpwstr>https://eur-lex.europa.eu/legal-content/RO/TXT/HTML/?uri=OJ:L:2018:328:FULL&amp;from=RO</vt:lpwstr>
      </vt:variant>
      <vt:variant>
        <vt:lpwstr>ntc*3-L_2018328RO.01017201-E0003</vt:lpwstr>
      </vt:variant>
      <vt:variant>
        <vt:i4>1704034</vt:i4>
      </vt:variant>
      <vt:variant>
        <vt:i4>372</vt:i4>
      </vt:variant>
      <vt:variant>
        <vt:i4>0</vt:i4>
      </vt:variant>
      <vt:variant>
        <vt:i4>5</vt:i4>
      </vt:variant>
      <vt:variant>
        <vt:lpwstr>https://eur-lex.europa.eu/legal-content/RO/TXT/HTML/?uri=OJ:L:2018:328:FULL&amp;from=RO</vt:lpwstr>
      </vt:variant>
      <vt:variant>
        <vt:lpwstr>ntc*2-L_2018328RO.01017201-E0002</vt:lpwstr>
      </vt:variant>
      <vt:variant>
        <vt:i4>1638497</vt:i4>
      </vt:variant>
      <vt:variant>
        <vt:i4>369</vt:i4>
      </vt:variant>
      <vt:variant>
        <vt:i4>0</vt:i4>
      </vt:variant>
      <vt:variant>
        <vt:i4>5</vt:i4>
      </vt:variant>
      <vt:variant>
        <vt:lpwstr>https://eur-lex.europa.eu/legal-content/RO/TXT/HTML/?uri=OJ:L:2018:328:FULL&amp;from=RO</vt:lpwstr>
      </vt:variant>
      <vt:variant>
        <vt:lpwstr>ntc*1-L_2018328RO.01017201-E0001</vt:lpwstr>
      </vt:variant>
      <vt:variant>
        <vt:i4>524401</vt:i4>
      </vt:variant>
      <vt:variant>
        <vt:i4>366</vt:i4>
      </vt:variant>
      <vt:variant>
        <vt:i4>0</vt:i4>
      </vt:variant>
      <vt:variant>
        <vt:i4>5</vt:i4>
      </vt:variant>
      <vt:variant>
        <vt:lpwstr>https://eur-lex.europa.eu/legal-content/RO/TXT/HTML/?uri=OJ:L:2018:328:FULL&amp;from=RO</vt:lpwstr>
      </vt:variant>
      <vt:variant>
        <vt:lpwstr>ntr22-L_2018328RO.01017201-E0028</vt:lpwstr>
      </vt:variant>
      <vt:variant>
        <vt:i4>458866</vt:i4>
      </vt:variant>
      <vt:variant>
        <vt:i4>363</vt:i4>
      </vt:variant>
      <vt:variant>
        <vt:i4>0</vt:i4>
      </vt:variant>
      <vt:variant>
        <vt:i4>5</vt:i4>
      </vt:variant>
      <vt:variant>
        <vt:lpwstr>https://eur-lex.europa.eu/legal-content/RO/TXT/HTML/?uri=OJ:L:2018:328:FULL&amp;from=RO</vt:lpwstr>
      </vt:variant>
      <vt:variant>
        <vt:lpwstr>ntr21-L_2018328RO.01017201-E0027</vt:lpwstr>
      </vt:variant>
      <vt:variant>
        <vt:i4>393331</vt:i4>
      </vt:variant>
      <vt:variant>
        <vt:i4>360</vt:i4>
      </vt:variant>
      <vt:variant>
        <vt:i4>0</vt:i4>
      </vt:variant>
      <vt:variant>
        <vt:i4>5</vt:i4>
      </vt:variant>
      <vt:variant>
        <vt:lpwstr>https://eur-lex.europa.eu/legal-content/RO/TXT/HTML/?uri=OJ:L:2018:328:FULL&amp;from=RO</vt:lpwstr>
      </vt:variant>
      <vt:variant>
        <vt:lpwstr>ntr20-L_2018328RO.01017201-E0026</vt:lpwstr>
      </vt:variant>
      <vt:variant>
        <vt:i4>393338</vt:i4>
      </vt:variant>
      <vt:variant>
        <vt:i4>357</vt:i4>
      </vt:variant>
      <vt:variant>
        <vt:i4>0</vt:i4>
      </vt:variant>
      <vt:variant>
        <vt:i4>5</vt:i4>
      </vt:variant>
      <vt:variant>
        <vt:lpwstr>https://eur-lex.europa.eu/legal-content/RO/TXT/HTML/?uri=OJ:L:2018:328:FULL&amp;from=RO</vt:lpwstr>
      </vt:variant>
      <vt:variant>
        <vt:lpwstr>ntr19-L_2018328RO.01017201-E0025</vt:lpwstr>
      </vt:variant>
      <vt:variant>
        <vt:i4>458875</vt:i4>
      </vt:variant>
      <vt:variant>
        <vt:i4>354</vt:i4>
      </vt:variant>
      <vt:variant>
        <vt:i4>0</vt:i4>
      </vt:variant>
      <vt:variant>
        <vt:i4>5</vt:i4>
      </vt:variant>
      <vt:variant>
        <vt:lpwstr>https://eur-lex.europa.eu/legal-content/RO/TXT/HTML/?uri=OJ:L:2018:328:FULL&amp;from=RO</vt:lpwstr>
      </vt:variant>
      <vt:variant>
        <vt:lpwstr>ntr18-L_2018328RO.01017201-E0024</vt:lpwstr>
      </vt:variant>
      <vt:variant>
        <vt:i4>116</vt:i4>
      </vt:variant>
      <vt:variant>
        <vt:i4>351</vt:i4>
      </vt:variant>
      <vt:variant>
        <vt:i4>0</vt:i4>
      </vt:variant>
      <vt:variant>
        <vt:i4>5</vt:i4>
      </vt:variant>
      <vt:variant>
        <vt:lpwstr>https://eur-lex.europa.eu/legal-content/RO/TXT/HTML/?uri=OJ:L:2018:328:FULL&amp;from=RO</vt:lpwstr>
      </vt:variant>
      <vt:variant>
        <vt:lpwstr>ntr17-L_2018328RO.01017201-E0023</vt:lpwstr>
      </vt:variant>
      <vt:variant>
        <vt:i4>65653</vt:i4>
      </vt:variant>
      <vt:variant>
        <vt:i4>348</vt:i4>
      </vt:variant>
      <vt:variant>
        <vt:i4>0</vt:i4>
      </vt:variant>
      <vt:variant>
        <vt:i4>5</vt:i4>
      </vt:variant>
      <vt:variant>
        <vt:lpwstr>https://eur-lex.europa.eu/legal-content/RO/TXT/HTML/?uri=OJ:L:2018:328:FULL&amp;from=RO</vt:lpwstr>
      </vt:variant>
      <vt:variant>
        <vt:lpwstr>ntr16-L_2018328RO.01017201-E0022</vt:lpwstr>
      </vt:variant>
      <vt:variant>
        <vt:i4>131190</vt:i4>
      </vt:variant>
      <vt:variant>
        <vt:i4>345</vt:i4>
      </vt:variant>
      <vt:variant>
        <vt:i4>0</vt:i4>
      </vt:variant>
      <vt:variant>
        <vt:i4>5</vt:i4>
      </vt:variant>
      <vt:variant>
        <vt:lpwstr>https://eur-lex.europa.eu/legal-content/RO/TXT/HTML/?uri=OJ:L:2018:328:FULL&amp;from=RO</vt:lpwstr>
      </vt:variant>
      <vt:variant>
        <vt:lpwstr>ntr15-L_2018328RO.01017201-E0021</vt:lpwstr>
      </vt:variant>
      <vt:variant>
        <vt:i4>196727</vt:i4>
      </vt:variant>
      <vt:variant>
        <vt:i4>342</vt:i4>
      </vt:variant>
      <vt:variant>
        <vt:i4>0</vt:i4>
      </vt:variant>
      <vt:variant>
        <vt:i4>5</vt:i4>
      </vt:variant>
      <vt:variant>
        <vt:lpwstr>https://eur-lex.europa.eu/legal-content/RO/TXT/HTML/?uri=OJ:L:2018:328:FULL&amp;from=RO</vt:lpwstr>
      </vt:variant>
      <vt:variant>
        <vt:lpwstr>ntr14-L_2018328RO.01017201-E0020</vt:lpwstr>
      </vt:variant>
      <vt:variant>
        <vt:i4>655475</vt:i4>
      </vt:variant>
      <vt:variant>
        <vt:i4>339</vt:i4>
      </vt:variant>
      <vt:variant>
        <vt:i4>0</vt:i4>
      </vt:variant>
      <vt:variant>
        <vt:i4>5</vt:i4>
      </vt:variant>
      <vt:variant>
        <vt:lpwstr>https://eur-lex.europa.eu/legal-content/RO/TXT/HTML/?uri=OJ:L:2018:328:FULL&amp;from=RO</vt:lpwstr>
      </vt:variant>
      <vt:variant>
        <vt:lpwstr>ntr13-L_2018328RO.01017201-E0019</vt:lpwstr>
      </vt:variant>
      <vt:variant>
        <vt:i4>721010</vt:i4>
      </vt:variant>
      <vt:variant>
        <vt:i4>336</vt:i4>
      </vt:variant>
      <vt:variant>
        <vt:i4>0</vt:i4>
      </vt:variant>
      <vt:variant>
        <vt:i4>5</vt:i4>
      </vt:variant>
      <vt:variant>
        <vt:lpwstr>https://eur-lex.europa.eu/legal-content/RO/TXT/HTML/?uri=OJ:L:2018:328:FULL&amp;from=RO</vt:lpwstr>
      </vt:variant>
      <vt:variant>
        <vt:lpwstr>ntr12-L_2018328RO.01017201-E0018</vt:lpwstr>
      </vt:variant>
      <vt:variant>
        <vt:i4>262257</vt:i4>
      </vt:variant>
      <vt:variant>
        <vt:i4>333</vt:i4>
      </vt:variant>
      <vt:variant>
        <vt:i4>0</vt:i4>
      </vt:variant>
      <vt:variant>
        <vt:i4>5</vt:i4>
      </vt:variant>
      <vt:variant>
        <vt:lpwstr>https://eur-lex.europa.eu/legal-content/RO/TXT/HTML/?uri=OJ:L:2018:328:FULL&amp;from=RO</vt:lpwstr>
      </vt:variant>
      <vt:variant>
        <vt:lpwstr>ntr11-L_2018328RO.01017201-E0017</vt:lpwstr>
      </vt:variant>
      <vt:variant>
        <vt:i4>327792</vt:i4>
      </vt:variant>
      <vt:variant>
        <vt:i4>330</vt:i4>
      </vt:variant>
      <vt:variant>
        <vt:i4>0</vt:i4>
      </vt:variant>
      <vt:variant>
        <vt:i4>5</vt:i4>
      </vt:variant>
      <vt:variant>
        <vt:lpwstr>https://eur-lex.europa.eu/legal-content/RO/TXT/HTML/?uri=OJ:L:2018:328:FULL&amp;from=RO</vt:lpwstr>
      </vt:variant>
      <vt:variant>
        <vt:lpwstr>ntr10-L_2018328RO.01017201-E0016</vt:lpwstr>
      </vt:variant>
      <vt:variant>
        <vt:i4>5832738</vt:i4>
      </vt:variant>
      <vt:variant>
        <vt:i4>327</vt:i4>
      </vt:variant>
      <vt:variant>
        <vt:i4>0</vt:i4>
      </vt:variant>
      <vt:variant>
        <vt:i4>5</vt:i4>
      </vt:variant>
      <vt:variant>
        <vt:lpwstr>https://eur-lex.europa.eu/legal-content/RO/TXT/HTML/?uri=OJ:L:2018:328:FULL&amp;from=RO</vt:lpwstr>
      </vt:variant>
      <vt:variant>
        <vt:lpwstr>ntr9-L_2018328RO.01017201-E0015</vt:lpwstr>
      </vt:variant>
      <vt:variant>
        <vt:i4>5767202</vt:i4>
      </vt:variant>
      <vt:variant>
        <vt:i4>324</vt:i4>
      </vt:variant>
      <vt:variant>
        <vt:i4>0</vt:i4>
      </vt:variant>
      <vt:variant>
        <vt:i4>5</vt:i4>
      </vt:variant>
      <vt:variant>
        <vt:lpwstr>https://eur-lex.europa.eu/legal-content/RO/TXT/HTML/?uri=OJ:L:2018:328:FULL&amp;from=RO</vt:lpwstr>
      </vt:variant>
      <vt:variant>
        <vt:lpwstr>ntr8-L_2018328RO.01017201-E0014</vt:lpwstr>
      </vt:variant>
      <vt:variant>
        <vt:i4>5701666</vt:i4>
      </vt:variant>
      <vt:variant>
        <vt:i4>321</vt:i4>
      </vt:variant>
      <vt:variant>
        <vt:i4>0</vt:i4>
      </vt:variant>
      <vt:variant>
        <vt:i4>5</vt:i4>
      </vt:variant>
      <vt:variant>
        <vt:lpwstr>https://eur-lex.europa.eu/legal-content/RO/TXT/HTML/?uri=OJ:L:2018:328:FULL&amp;from=RO</vt:lpwstr>
      </vt:variant>
      <vt:variant>
        <vt:lpwstr>ntr7-L_2018328RO.01017201-E0013</vt:lpwstr>
      </vt:variant>
      <vt:variant>
        <vt:i4>5636130</vt:i4>
      </vt:variant>
      <vt:variant>
        <vt:i4>318</vt:i4>
      </vt:variant>
      <vt:variant>
        <vt:i4>0</vt:i4>
      </vt:variant>
      <vt:variant>
        <vt:i4>5</vt:i4>
      </vt:variant>
      <vt:variant>
        <vt:lpwstr>https://eur-lex.europa.eu/legal-content/RO/TXT/HTML/?uri=OJ:L:2018:328:FULL&amp;from=RO</vt:lpwstr>
      </vt:variant>
      <vt:variant>
        <vt:lpwstr>ntr6-L_2018328RO.01017201-E0012</vt:lpwstr>
      </vt:variant>
      <vt:variant>
        <vt:i4>5570594</vt:i4>
      </vt:variant>
      <vt:variant>
        <vt:i4>315</vt:i4>
      </vt:variant>
      <vt:variant>
        <vt:i4>0</vt:i4>
      </vt:variant>
      <vt:variant>
        <vt:i4>5</vt:i4>
      </vt:variant>
      <vt:variant>
        <vt:lpwstr>https://eur-lex.europa.eu/legal-content/RO/TXT/HTML/?uri=OJ:L:2018:328:FULL&amp;from=RO</vt:lpwstr>
      </vt:variant>
      <vt:variant>
        <vt:lpwstr>ntr5-L_2018328RO.01017201-E0011</vt:lpwstr>
      </vt:variant>
      <vt:variant>
        <vt:i4>1572982</vt:i4>
      </vt:variant>
      <vt:variant>
        <vt:i4>312</vt:i4>
      </vt:variant>
      <vt:variant>
        <vt:i4>0</vt:i4>
      </vt:variant>
      <vt:variant>
        <vt:i4>5</vt:i4>
      </vt:variant>
      <vt:variant>
        <vt:lpwstr>https://eur-lex.europa.eu/legal-content/RO/TXT/HTML/?uri=OJ:L:2018:328:FULL&amp;from=RO</vt:lpwstr>
      </vt:variant>
      <vt:variant>
        <vt:lpwstr>ntr*6-L_2018328RO.01017201-E0010</vt:lpwstr>
      </vt:variant>
      <vt:variant>
        <vt:i4>1114228</vt:i4>
      </vt:variant>
      <vt:variant>
        <vt:i4>309</vt:i4>
      </vt:variant>
      <vt:variant>
        <vt:i4>0</vt:i4>
      </vt:variant>
      <vt:variant>
        <vt:i4>5</vt:i4>
      </vt:variant>
      <vt:variant>
        <vt:lpwstr>https://eur-lex.europa.eu/legal-content/RO/TXT/HTML/?uri=OJ:L:2018:328:FULL&amp;from=RO</vt:lpwstr>
      </vt:variant>
      <vt:variant>
        <vt:lpwstr>ntr*5-L_2018328RO.01017201-E0009</vt:lpwstr>
      </vt:variant>
      <vt:variant>
        <vt:i4>5570594</vt:i4>
      </vt:variant>
      <vt:variant>
        <vt:i4>306</vt:i4>
      </vt:variant>
      <vt:variant>
        <vt:i4>0</vt:i4>
      </vt:variant>
      <vt:variant>
        <vt:i4>5</vt:i4>
      </vt:variant>
      <vt:variant>
        <vt:lpwstr>https://eur-lex.europa.eu/legal-content/RO/TXT/HTML/?uri=OJ:L:2018:328:FULL&amp;from=RO</vt:lpwstr>
      </vt:variant>
      <vt:variant>
        <vt:lpwstr>ntr4-L_2018328RO.01017201-E0008</vt:lpwstr>
      </vt:variant>
      <vt:variant>
        <vt:i4>5373986</vt:i4>
      </vt:variant>
      <vt:variant>
        <vt:i4>303</vt:i4>
      </vt:variant>
      <vt:variant>
        <vt:i4>0</vt:i4>
      </vt:variant>
      <vt:variant>
        <vt:i4>5</vt:i4>
      </vt:variant>
      <vt:variant>
        <vt:lpwstr>https://eur-lex.europa.eu/legal-content/RO/TXT/HTML/?uri=OJ:L:2018:328:FULL&amp;from=RO</vt:lpwstr>
      </vt:variant>
      <vt:variant>
        <vt:lpwstr>ntr3-L_2018328RO.01017201-E0007</vt:lpwstr>
      </vt:variant>
      <vt:variant>
        <vt:i4>5439522</vt:i4>
      </vt:variant>
      <vt:variant>
        <vt:i4>300</vt:i4>
      </vt:variant>
      <vt:variant>
        <vt:i4>0</vt:i4>
      </vt:variant>
      <vt:variant>
        <vt:i4>5</vt:i4>
      </vt:variant>
      <vt:variant>
        <vt:lpwstr>https://eur-lex.europa.eu/legal-content/RO/TXT/HTML/?uri=OJ:L:2018:328:FULL&amp;from=RO</vt:lpwstr>
      </vt:variant>
      <vt:variant>
        <vt:lpwstr>ntr2-L_2018328RO.01017201-E0006</vt:lpwstr>
      </vt:variant>
      <vt:variant>
        <vt:i4>5242914</vt:i4>
      </vt:variant>
      <vt:variant>
        <vt:i4>297</vt:i4>
      </vt:variant>
      <vt:variant>
        <vt:i4>0</vt:i4>
      </vt:variant>
      <vt:variant>
        <vt:i4>5</vt:i4>
      </vt:variant>
      <vt:variant>
        <vt:lpwstr>https://eur-lex.europa.eu/legal-content/RO/TXT/HTML/?uri=OJ:L:2018:328:FULL&amp;from=RO</vt:lpwstr>
      </vt:variant>
      <vt:variant>
        <vt:lpwstr>ntr1-L_2018328RO.01017201-E0005</vt:lpwstr>
      </vt:variant>
      <vt:variant>
        <vt:i4>1835125</vt:i4>
      </vt:variant>
      <vt:variant>
        <vt:i4>294</vt:i4>
      </vt:variant>
      <vt:variant>
        <vt:i4>0</vt:i4>
      </vt:variant>
      <vt:variant>
        <vt:i4>5</vt:i4>
      </vt:variant>
      <vt:variant>
        <vt:lpwstr>https://eur-lex.europa.eu/legal-content/RO/TXT/HTML/?uri=OJ:L:2018:328:FULL&amp;from=RO</vt:lpwstr>
      </vt:variant>
      <vt:variant>
        <vt:lpwstr>ntr*4-L_2018328RO.01017201-E0004</vt:lpwstr>
      </vt:variant>
      <vt:variant>
        <vt:i4>1769586</vt:i4>
      </vt:variant>
      <vt:variant>
        <vt:i4>291</vt:i4>
      </vt:variant>
      <vt:variant>
        <vt:i4>0</vt:i4>
      </vt:variant>
      <vt:variant>
        <vt:i4>5</vt:i4>
      </vt:variant>
      <vt:variant>
        <vt:lpwstr>https://eur-lex.europa.eu/legal-content/RO/TXT/HTML/?uri=OJ:L:2018:328:FULL&amp;from=RO</vt:lpwstr>
      </vt:variant>
      <vt:variant>
        <vt:lpwstr>ntr*3-L_2018328RO.01017201-E0003</vt:lpwstr>
      </vt:variant>
      <vt:variant>
        <vt:i4>1704051</vt:i4>
      </vt:variant>
      <vt:variant>
        <vt:i4>288</vt:i4>
      </vt:variant>
      <vt:variant>
        <vt:i4>0</vt:i4>
      </vt:variant>
      <vt:variant>
        <vt:i4>5</vt:i4>
      </vt:variant>
      <vt:variant>
        <vt:lpwstr>https://eur-lex.europa.eu/legal-content/RO/TXT/HTML/?uri=OJ:L:2018:328:FULL&amp;from=RO</vt:lpwstr>
      </vt:variant>
      <vt:variant>
        <vt:lpwstr>ntr*2-L_2018328RO.01017201-E0002</vt:lpwstr>
      </vt:variant>
      <vt:variant>
        <vt:i4>1638512</vt:i4>
      </vt:variant>
      <vt:variant>
        <vt:i4>285</vt:i4>
      </vt:variant>
      <vt:variant>
        <vt:i4>0</vt:i4>
      </vt:variant>
      <vt:variant>
        <vt:i4>5</vt:i4>
      </vt:variant>
      <vt:variant>
        <vt:lpwstr>https://eur-lex.europa.eu/legal-content/RO/TXT/HTML/?uri=OJ:L:2018:328:FULL&amp;from=RO</vt:lpwstr>
      </vt:variant>
      <vt:variant>
        <vt:lpwstr>ntr*1-L_2018328RO.01017201-E0001</vt:lpwstr>
      </vt:variant>
      <vt:variant>
        <vt:i4>5374001</vt:i4>
      </vt:variant>
      <vt:variant>
        <vt:i4>282</vt:i4>
      </vt:variant>
      <vt:variant>
        <vt:i4>0</vt:i4>
      </vt:variant>
      <vt:variant>
        <vt:i4>5</vt:i4>
      </vt:variant>
      <vt:variant>
        <vt:lpwstr>https://eur-lex.europa.eu/legal-content/RO/TXT/HTML/?uri=OJ:L:2018:328:FULL&amp;from=RO</vt:lpwstr>
      </vt:variant>
      <vt:variant>
        <vt:lpwstr>ntc4-L_2018328RO.01020301-E0004</vt:lpwstr>
      </vt:variant>
      <vt:variant>
        <vt:i4>5570609</vt:i4>
      </vt:variant>
      <vt:variant>
        <vt:i4>279</vt:i4>
      </vt:variant>
      <vt:variant>
        <vt:i4>0</vt:i4>
      </vt:variant>
      <vt:variant>
        <vt:i4>5</vt:i4>
      </vt:variant>
      <vt:variant>
        <vt:lpwstr>https://eur-lex.europa.eu/legal-content/RO/TXT/HTML/?uri=OJ:L:2018:328:FULL&amp;from=RO</vt:lpwstr>
      </vt:variant>
      <vt:variant>
        <vt:lpwstr>ntc3-L_2018328RO.01020301-E0003</vt:lpwstr>
      </vt:variant>
      <vt:variant>
        <vt:i4>5505073</vt:i4>
      </vt:variant>
      <vt:variant>
        <vt:i4>276</vt:i4>
      </vt:variant>
      <vt:variant>
        <vt:i4>0</vt:i4>
      </vt:variant>
      <vt:variant>
        <vt:i4>5</vt:i4>
      </vt:variant>
      <vt:variant>
        <vt:lpwstr>https://eur-lex.europa.eu/legal-content/RO/TXT/HTML/?uri=OJ:L:2018:328:FULL&amp;from=RO</vt:lpwstr>
      </vt:variant>
      <vt:variant>
        <vt:lpwstr>ntc2-L_2018328RO.01020301-E0002</vt:lpwstr>
      </vt:variant>
      <vt:variant>
        <vt:i4>5701681</vt:i4>
      </vt:variant>
      <vt:variant>
        <vt:i4>273</vt:i4>
      </vt:variant>
      <vt:variant>
        <vt:i4>0</vt:i4>
      </vt:variant>
      <vt:variant>
        <vt:i4>5</vt:i4>
      </vt:variant>
      <vt:variant>
        <vt:lpwstr>https://eur-lex.europa.eu/legal-content/RO/TXT/HTML/?uri=OJ:L:2018:328:FULL&amp;from=RO</vt:lpwstr>
      </vt:variant>
      <vt:variant>
        <vt:lpwstr>ntc1-L_2018328RO.01020301-E0001</vt:lpwstr>
      </vt:variant>
      <vt:variant>
        <vt:i4>5373984</vt:i4>
      </vt:variant>
      <vt:variant>
        <vt:i4>270</vt:i4>
      </vt:variant>
      <vt:variant>
        <vt:i4>0</vt:i4>
      </vt:variant>
      <vt:variant>
        <vt:i4>5</vt:i4>
      </vt:variant>
      <vt:variant>
        <vt:lpwstr>https://eur-lex.europa.eu/legal-content/RO/TXT/HTML/?uri=OJ:L:2018:328:FULL&amp;from=RO</vt:lpwstr>
      </vt:variant>
      <vt:variant>
        <vt:lpwstr>ntr4-L_2018328RO.01020301-E0004</vt:lpwstr>
      </vt:variant>
      <vt:variant>
        <vt:i4>5570592</vt:i4>
      </vt:variant>
      <vt:variant>
        <vt:i4>267</vt:i4>
      </vt:variant>
      <vt:variant>
        <vt:i4>0</vt:i4>
      </vt:variant>
      <vt:variant>
        <vt:i4>5</vt:i4>
      </vt:variant>
      <vt:variant>
        <vt:lpwstr>https://eur-lex.europa.eu/legal-content/RO/TXT/HTML/?uri=OJ:L:2018:328:FULL&amp;from=RO</vt:lpwstr>
      </vt:variant>
      <vt:variant>
        <vt:lpwstr>ntr3-L_2018328RO.01020301-E0003</vt:lpwstr>
      </vt:variant>
      <vt:variant>
        <vt:i4>5505056</vt:i4>
      </vt:variant>
      <vt:variant>
        <vt:i4>264</vt:i4>
      </vt:variant>
      <vt:variant>
        <vt:i4>0</vt:i4>
      </vt:variant>
      <vt:variant>
        <vt:i4>5</vt:i4>
      </vt:variant>
      <vt:variant>
        <vt:lpwstr>https://eur-lex.europa.eu/legal-content/RO/TXT/HTML/?uri=OJ:L:2018:328:FULL&amp;from=RO</vt:lpwstr>
      </vt:variant>
      <vt:variant>
        <vt:lpwstr>ntr2-L_2018328RO.01020301-E0002</vt:lpwstr>
      </vt:variant>
      <vt:variant>
        <vt:i4>5701664</vt:i4>
      </vt:variant>
      <vt:variant>
        <vt:i4>261</vt:i4>
      </vt:variant>
      <vt:variant>
        <vt:i4>0</vt:i4>
      </vt:variant>
      <vt:variant>
        <vt:i4>5</vt:i4>
      </vt:variant>
      <vt:variant>
        <vt:lpwstr>https://eur-lex.europa.eu/legal-content/RO/TXT/HTML/?uri=OJ:L:2018:328:FULL&amp;from=RO</vt:lpwstr>
      </vt:variant>
      <vt:variant>
        <vt:lpwstr>ntr1-L_2018328RO.01020301-E0001</vt:lpwstr>
      </vt:variant>
      <vt:variant>
        <vt:i4>1835113</vt:i4>
      </vt:variant>
      <vt:variant>
        <vt:i4>258</vt:i4>
      </vt:variant>
      <vt:variant>
        <vt:i4>0</vt:i4>
      </vt:variant>
      <vt:variant>
        <vt:i4>5</vt:i4>
      </vt:variant>
      <vt:variant>
        <vt:lpwstr>https://eur-lex.europa.eu/legal-content/RO/TXT/HTML/?uri=OJ:L:2018:328:FULL&amp;from=RO</vt:lpwstr>
      </vt:variant>
      <vt:variant>
        <vt:lpwstr>ntc*8-L_2018328RO.01014701-E0021</vt:lpwstr>
      </vt:variant>
      <vt:variant>
        <vt:i4>1900646</vt:i4>
      </vt:variant>
      <vt:variant>
        <vt:i4>255</vt:i4>
      </vt:variant>
      <vt:variant>
        <vt:i4>0</vt:i4>
      </vt:variant>
      <vt:variant>
        <vt:i4>5</vt:i4>
      </vt:variant>
      <vt:variant>
        <vt:lpwstr>https://eur-lex.europa.eu/legal-content/RO/TXT/HTML/?uri=OJ:L:2018:328:FULL&amp;from=RO</vt:lpwstr>
      </vt:variant>
      <vt:variant>
        <vt:lpwstr>ntc*7-L_2018328RO.01014701-E0020</vt:lpwstr>
      </vt:variant>
      <vt:variant>
        <vt:i4>1310820</vt:i4>
      </vt:variant>
      <vt:variant>
        <vt:i4>252</vt:i4>
      </vt:variant>
      <vt:variant>
        <vt:i4>0</vt:i4>
      </vt:variant>
      <vt:variant>
        <vt:i4>5</vt:i4>
      </vt:variant>
      <vt:variant>
        <vt:lpwstr>https://eur-lex.europa.eu/legal-content/RO/TXT/HTML/?uri=OJ:L:2018:328:FULL&amp;from=RO</vt:lpwstr>
      </vt:variant>
      <vt:variant>
        <vt:lpwstr>ntc*6-L_2018328RO.01014701-E0019</vt:lpwstr>
      </vt:variant>
      <vt:variant>
        <vt:i4>1376359</vt:i4>
      </vt:variant>
      <vt:variant>
        <vt:i4>249</vt:i4>
      </vt:variant>
      <vt:variant>
        <vt:i4>0</vt:i4>
      </vt:variant>
      <vt:variant>
        <vt:i4>5</vt:i4>
      </vt:variant>
      <vt:variant>
        <vt:lpwstr>https://eur-lex.europa.eu/legal-content/RO/TXT/HTML/?uri=OJ:L:2018:328:FULL&amp;from=RO</vt:lpwstr>
      </vt:variant>
      <vt:variant>
        <vt:lpwstr>ntc*5-L_2018328RO.01014701-E0018</vt:lpwstr>
      </vt:variant>
      <vt:variant>
        <vt:i4>1704038</vt:i4>
      </vt:variant>
      <vt:variant>
        <vt:i4>246</vt:i4>
      </vt:variant>
      <vt:variant>
        <vt:i4>0</vt:i4>
      </vt:variant>
      <vt:variant>
        <vt:i4>5</vt:i4>
      </vt:variant>
      <vt:variant>
        <vt:lpwstr>https://eur-lex.europa.eu/legal-content/RO/TXT/HTML/?uri=OJ:L:2018:328:FULL&amp;from=RO</vt:lpwstr>
      </vt:variant>
      <vt:variant>
        <vt:lpwstr>ntc*4-L_2018328RO.01014701-E0017</vt:lpwstr>
      </vt:variant>
      <vt:variant>
        <vt:i4>1769569</vt:i4>
      </vt:variant>
      <vt:variant>
        <vt:i4>243</vt:i4>
      </vt:variant>
      <vt:variant>
        <vt:i4>0</vt:i4>
      </vt:variant>
      <vt:variant>
        <vt:i4>5</vt:i4>
      </vt:variant>
      <vt:variant>
        <vt:lpwstr>https://eur-lex.europa.eu/legal-content/RO/TXT/HTML/?uri=OJ:L:2018:328:FULL&amp;from=RO</vt:lpwstr>
      </vt:variant>
      <vt:variant>
        <vt:lpwstr>ntc*3-L_2018328RO.01014701-E0016</vt:lpwstr>
      </vt:variant>
      <vt:variant>
        <vt:i4>1572984</vt:i4>
      </vt:variant>
      <vt:variant>
        <vt:i4>240</vt:i4>
      </vt:variant>
      <vt:variant>
        <vt:i4>0</vt:i4>
      </vt:variant>
      <vt:variant>
        <vt:i4>5</vt:i4>
      </vt:variant>
      <vt:variant>
        <vt:lpwstr>https://eur-lex.europa.eu/legal-content/RO/TXT/HTML/?uri=OJ:L:2018:328:FULL&amp;from=RO</vt:lpwstr>
      </vt:variant>
      <vt:variant>
        <vt:lpwstr>ntc**-L_2018328RO.01014701-E0015</vt:lpwstr>
      </vt:variant>
      <vt:variant>
        <vt:i4>1638496</vt:i4>
      </vt:variant>
      <vt:variant>
        <vt:i4>237</vt:i4>
      </vt:variant>
      <vt:variant>
        <vt:i4>0</vt:i4>
      </vt:variant>
      <vt:variant>
        <vt:i4>5</vt:i4>
      </vt:variant>
      <vt:variant>
        <vt:lpwstr>https://eur-lex.europa.eu/legal-content/RO/TXT/HTML/?uri=OJ:L:2018:328:FULL&amp;from=RO</vt:lpwstr>
      </vt:variant>
      <vt:variant>
        <vt:lpwstr>ntc*2-L_2018328RO.01014701-E0014</vt:lpwstr>
      </vt:variant>
      <vt:variant>
        <vt:i4>1966179</vt:i4>
      </vt:variant>
      <vt:variant>
        <vt:i4>234</vt:i4>
      </vt:variant>
      <vt:variant>
        <vt:i4>0</vt:i4>
      </vt:variant>
      <vt:variant>
        <vt:i4>5</vt:i4>
      </vt:variant>
      <vt:variant>
        <vt:lpwstr>https://eur-lex.europa.eu/legal-content/RO/TXT/HTML/?uri=OJ:L:2018:328:FULL&amp;from=RO</vt:lpwstr>
      </vt:variant>
      <vt:variant>
        <vt:lpwstr>ntc*1-L_2018328RO.01014701-E0013</vt:lpwstr>
      </vt:variant>
      <vt:variant>
        <vt:i4>2031736</vt:i4>
      </vt:variant>
      <vt:variant>
        <vt:i4>231</vt:i4>
      </vt:variant>
      <vt:variant>
        <vt:i4>0</vt:i4>
      </vt:variant>
      <vt:variant>
        <vt:i4>5</vt:i4>
      </vt:variant>
      <vt:variant>
        <vt:lpwstr>https://eur-lex.europa.eu/legal-content/RO/TXT/HTML/?uri=OJ:L:2018:328:FULL&amp;from=RO</vt:lpwstr>
      </vt:variant>
      <vt:variant>
        <vt:lpwstr>ntc**-L_2018328RO.01014701-E0012</vt:lpwstr>
      </vt:variant>
      <vt:variant>
        <vt:i4>1835128</vt:i4>
      </vt:variant>
      <vt:variant>
        <vt:i4>228</vt:i4>
      </vt:variant>
      <vt:variant>
        <vt:i4>0</vt:i4>
      </vt:variant>
      <vt:variant>
        <vt:i4>5</vt:i4>
      </vt:variant>
      <vt:variant>
        <vt:lpwstr>https://eur-lex.europa.eu/legal-content/RO/TXT/HTML/?uri=OJ:L:2018:328:FULL&amp;from=RO</vt:lpwstr>
      </vt:variant>
      <vt:variant>
        <vt:lpwstr>ntc**-L_2018328RO.01014701-E0011</vt:lpwstr>
      </vt:variant>
      <vt:variant>
        <vt:i4>524378</vt:i4>
      </vt:variant>
      <vt:variant>
        <vt:i4>225</vt:i4>
      </vt:variant>
      <vt:variant>
        <vt:i4>0</vt:i4>
      </vt:variant>
      <vt:variant>
        <vt:i4>5</vt:i4>
      </vt:variant>
      <vt:variant>
        <vt:lpwstr>https://eur-lex.europa.eu/legal-content/RO/AUTO/?uri=OJ:L:2009:140:TOC&amp;toc=OJ:L:2018:328:FULL</vt:lpwstr>
      </vt:variant>
      <vt:variant>
        <vt:lpwstr/>
      </vt:variant>
      <vt:variant>
        <vt:i4>393314</vt:i4>
      </vt:variant>
      <vt:variant>
        <vt:i4>222</vt:i4>
      </vt:variant>
      <vt:variant>
        <vt:i4>0</vt:i4>
      </vt:variant>
      <vt:variant>
        <vt:i4>5</vt:i4>
      </vt:variant>
      <vt:variant>
        <vt:lpwstr>https://eur-lex.europa.eu/legal-content/RO/TXT/HTML/?uri=OJ:L:2018:328:FULL&amp;from=RO</vt:lpwstr>
      </vt:variant>
      <vt:variant>
        <vt:lpwstr>ntc10-L_2018328RO.01014701-E0010</vt:lpwstr>
      </vt:variant>
      <vt:variant>
        <vt:i4>983130</vt:i4>
      </vt:variant>
      <vt:variant>
        <vt:i4>219</vt:i4>
      </vt:variant>
      <vt:variant>
        <vt:i4>0</vt:i4>
      </vt:variant>
      <vt:variant>
        <vt:i4>5</vt:i4>
      </vt:variant>
      <vt:variant>
        <vt:lpwstr>https://eur-lex.europa.eu/legal-content/RO/AUTO/?uri=OJ:L:2018:156:TOC&amp;toc=OJ:L:2018:328:FULL</vt:lpwstr>
      </vt:variant>
      <vt:variant>
        <vt:lpwstr/>
      </vt:variant>
      <vt:variant>
        <vt:i4>5963830</vt:i4>
      </vt:variant>
      <vt:variant>
        <vt:i4>216</vt:i4>
      </vt:variant>
      <vt:variant>
        <vt:i4>0</vt:i4>
      </vt:variant>
      <vt:variant>
        <vt:i4>5</vt:i4>
      </vt:variant>
      <vt:variant>
        <vt:lpwstr>https://eur-lex.europa.eu/legal-content/RO/TXT/HTML/?uri=OJ:L:2018:328:FULL&amp;from=RO</vt:lpwstr>
      </vt:variant>
      <vt:variant>
        <vt:lpwstr>ntc9-L_2018328RO.01014701-E0009</vt:lpwstr>
      </vt:variant>
      <vt:variant>
        <vt:i4>90</vt:i4>
      </vt:variant>
      <vt:variant>
        <vt:i4>213</vt:i4>
      </vt:variant>
      <vt:variant>
        <vt:i4>0</vt:i4>
      </vt:variant>
      <vt:variant>
        <vt:i4>5</vt:i4>
      </vt:variant>
      <vt:variant>
        <vt:lpwstr>https://eur-lex.europa.eu/legal-content/RO/AUTO/?uri=OJ:L:2010:151:TOC&amp;toc=OJ:L:2018:328:FULL</vt:lpwstr>
      </vt:variant>
      <vt:variant>
        <vt:lpwstr/>
      </vt:variant>
      <vt:variant>
        <vt:i4>5898294</vt:i4>
      </vt:variant>
      <vt:variant>
        <vt:i4>210</vt:i4>
      </vt:variant>
      <vt:variant>
        <vt:i4>0</vt:i4>
      </vt:variant>
      <vt:variant>
        <vt:i4>5</vt:i4>
      </vt:variant>
      <vt:variant>
        <vt:lpwstr>https://eur-lex.europa.eu/legal-content/RO/TXT/HTML/?uri=OJ:L:2018:328:FULL&amp;from=RO</vt:lpwstr>
      </vt:variant>
      <vt:variant>
        <vt:lpwstr>ntc8-L_2018328RO.01014701-E0008</vt:lpwstr>
      </vt:variant>
      <vt:variant>
        <vt:i4>5570614</vt:i4>
      </vt:variant>
      <vt:variant>
        <vt:i4>207</vt:i4>
      </vt:variant>
      <vt:variant>
        <vt:i4>0</vt:i4>
      </vt:variant>
      <vt:variant>
        <vt:i4>5</vt:i4>
      </vt:variant>
      <vt:variant>
        <vt:lpwstr>https://eur-lex.europa.eu/legal-content/RO/TXT/HTML/?uri=OJ:L:2018:328:FULL&amp;from=RO</vt:lpwstr>
      </vt:variant>
      <vt:variant>
        <vt:lpwstr>ntc7-L_2018328RO.01014701-E0007</vt:lpwstr>
      </vt:variant>
      <vt:variant>
        <vt:i4>5505078</vt:i4>
      </vt:variant>
      <vt:variant>
        <vt:i4>204</vt:i4>
      </vt:variant>
      <vt:variant>
        <vt:i4>0</vt:i4>
      </vt:variant>
      <vt:variant>
        <vt:i4>5</vt:i4>
      </vt:variant>
      <vt:variant>
        <vt:lpwstr>https://eur-lex.europa.eu/legal-content/RO/TXT/HTML/?uri=OJ:L:2018:328:FULL&amp;from=RO</vt:lpwstr>
      </vt:variant>
      <vt:variant>
        <vt:lpwstr>ntc6-L_2018328RO.01014701-E0006</vt:lpwstr>
      </vt:variant>
      <vt:variant>
        <vt:i4>5701686</vt:i4>
      </vt:variant>
      <vt:variant>
        <vt:i4>201</vt:i4>
      </vt:variant>
      <vt:variant>
        <vt:i4>0</vt:i4>
      </vt:variant>
      <vt:variant>
        <vt:i4>5</vt:i4>
      </vt:variant>
      <vt:variant>
        <vt:lpwstr>https://eur-lex.europa.eu/legal-content/RO/TXT/HTML/?uri=OJ:L:2018:328:FULL&amp;from=RO</vt:lpwstr>
      </vt:variant>
      <vt:variant>
        <vt:lpwstr>ntc5-L_2018328RO.01014701-E0005</vt:lpwstr>
      </vt:variant>
      <vt:variant>
        <vt:i4>5636150</vt:i4>
      </vt:variant>
      <vt:variant>
        <vt:i4>198</vt:i4>
      </vt:variant>
      <vt:variant>
        <vt:i4>0</vt:i4>
      </vt:variant>
      <vt:variant>
        <vt:i4>5</vt:i4>
      </vt:variant>
      <vt:variant>
        <vt:lpwstr>https://eur-lex.europa.eu/legal-content/RO/TXT/HTML/?uri=OJ:L:2018:328:FULL&amp;from=RO</vt:lpwstr>
      </vt:variant>
      <vt:variant>
        <vt:lpwstr>ntc4-L_2018328RO.01014701-E0004</vt:lpwstr>
      </vt:variant>
      <vt:variant>
        <vt:i4>5308470</vt:i4>
      </vt:variant>
      <vt:variant>
        <vt:i4>195</vt:i4>
      </vt:variant>
      <vt:variant>
        <vt:i4>0</vt:i4>
      </vt:variant>
      <vt:variant>
        <vt:i4>5</vt:i4>
      </vt:variant>
      <vt:variant>
        <vt:lpwstr>https://eur-lex.europa.eu/legal-content/RO/TXT/HTML/?uri=OJ:L:2018:328:FULL&amp;from=RO</vt:lpwstr>
      </vt:variant>
      <vt:variant>
        <vt:lpwstr>ntc3-L_2018328RO.01014701-E0003</vt:lpwstr>
      </vt:variant>
      <vt:variant>
        <vt:i4>5242934</vt:i4>
      </vt:variant>
      <vt:variant>
        <vt:i4>192</vt:i4>
      </vt:variant>
      <vt:variant>
        <vt:i4>0</vt:i4>
      </vt:variant>
      <vt:variant>
        <vt:i4>5</vt:i4>
      </vt:variant>
      <vt:variant>
        <vt:lpwstr>https://eur-lex.europa.eu/legal-content/RO/TXT/HTML/?uri=OJ:L:2018:328:FULL&amp;from=RO</vt:lpwstr>
      </vt:variant>
      <vt:variant>
        <vt:lpwstr>ntc2-L_2018328RO.01014701-E0002</vt:lpwstr>
      </vt:variant>
      <vt:variant>
        <vt:i4>655454</vt:i4>
      </vt:variant>
      <vt:variant>
        <vt:i4>189</vt:i4>
      </vt:variant>
      <vt:variant>
        <vt:i4>0</vt:i4>
      </vt:variant>
      <vt:variant>
        <vt:i4>5</vt:i4>
      </vt:variant>
      <vt:variant>
        <vt:lpwstr>https://eur-lex.europa.eu/legal-content/RO/AUTO/?uri=OJ:L:2009:300:TOC&amp;toc=OJ:L:2018:328:FULL</vt:lpwstr>
      </vt:variant>
      <vt:variant>
        <vt:lpwstr/>
      </vt:variant>
      <vt:variant>
        <vt:i4>5439542</vt:i4>
      </vt:variant>
      <vt:variant>
        <vt:i4>186</vt:i4>
      </vt:variant>
      <vt:variant>
        <vt:i4>0</vt:i4>
      </vt:variant>
      <vt:variant>
        <vt:i4>5</vt:i4>
      </vt:variant>
      <vt:variant>
        <vt:lpwstr>https://eur-lex.europa.eu/legal-content/RO/TXT/HTML/?uri=OJ:L:2018:328:FULL&amp;from=RO</vt:lpwstr>
      </vt:variant>
      <vt:variant>
        <vt:lpwstr>ntc1-L_2018328RO.01014701-E0001</vt:lpwstr>
      </vt:variant>
      <vt:variant>
        <vt:i4>1835128</vt:i4>
      </vt:variant>
      <vt:variant>
        <vt:i4>183</vt:i4>
      </vt:variant>
      <vt:variant>
        <vt:i4>0</vt:i4>
      </vt:variant>
      <vt:variant>
        <vt:i4>5</vt:i4>
      </vt:variant>
      <vt:variant>
        <vt:lpwstr>https://eur-lex.europa.eu/legal-content/RO/TXT/HTML/?uri=OJ:L:2018:328:FULL&amp;from=RO</vt:lpwstr>
      </vt:variant>
      <vt:variant>
        <vt:lpwstr>ntr*8-L_2018328RO.01014701-E0021</vt:lpwstr>
      </vt:variant>
      <vt:variant>
        <vt:i4>1835128</vt:i4>
      </vt:variant>
      <vt:variant>
        <vt:i4>180</vt:i4>
      </vt:variant>
      <vt:variant>
        <vt:i4>0</vt:i4>
      </vt:variant>
      <vt:variant>
        <vt:i4>5</vt:i4>
      </vt:variant>
      <vt:variant>
        <vt:lpwstr>https://eur-lex.europa.eu/legal-content/RO/TXT/HTML/?uri=OJ:L:2018:328:FULL&amp;from=RO</vt:lpwstr>
      </vt:variant>
      <vt:variant>
        <vt:lpwstr>ntr*8-L_2018328RO.01014701-E0021</vt:lpwstr>
      </vt:variant>
      <vt:variant>
        <vt:i4>1900663</vt:i4>
      </vt:variant>
      <vt:variant>
        <vt:i4>177</vt:i4>
      </vt:variant>
      <vt:variant>
        <vt:i4>0</vt:i4>
      </vt:variant>
      <vt:variant>
        <vt:i4>5</vt:i4>
      </vt:variant>
      <vt:variant>
        <vt:lpwstr>https://eur-lex.europa.eu/legal-content/RO/TXT/HTML/?uri=OJ:L:2018:328:FULL&amp;from=RO</vt:lpwstr>
      </vt:variant>
      <vt:variant>
        <vt:lpwstr>ntr*7-L_2018328RO.01014701-E0020</vt:lpwstr>
      </vt:variant>
      <vt:variant>
        <vt:i4>1900663</vt:i4>
      </vt:variant>
      <vt:variant>
        <vt:i4>174</vt:i4>
      </vt:variant>
      <vt:variant>
        <vt:i4>0</vt:i4>
      </vt:variant>
      <vt:variant>
        <vt:i4>5</vt:i4>
      </vt:variant>
      <vt:variant>
        <vt:lpwstr>https://eur-lex.europa.eu/legal-content/RO/TXT/HTML/?uri=OJ:L:2018:328:FULL&amp;from=RO</vt:lpwstr>
      </vt:variant>
      <vt:variant>
        <vt:lpwstr>ntr*7-L_2018328RO.01014701-E0020</vt:lpwstr>
      </vt:variant>
      <vt:variant>
        <vt:i4>1900663</vt:i4>
      </vt:variant>
      <vt:variant>
        <vt:i4>171</vt:i4>
      </vt:variant>
      <vt:variant>
        <vt:i4>0</vt:i4>
      </vt:variant>
      <vt:variant>
        <vt:i4>5</vt:i4>
      </vt:variant>
      <vt:variant>
        <vt:lpwstr>https://eur-lex.europa.eu/legal-content/RO/TXT/HTML/?uri=OJ:L:2018:328:FULL&amp;from=RO</vt:lpwstr>
      </vt:variant>
      <vt:variant>
        <vt:lpwstr>ntr*7-L_2018328RO.01014701-E0020</vt:lpwstr>
      </vt:variant>
      <vt:variant>
        <vt:i4>1900663</vt:i4>
      </vt:variant>
      <vt:variant>
        <vt:i4>168</vt:i4>
      </vt:variant>
      <vt:variant>
        <vt:i4>0</vt:i4>
      </vt:variant>
      <vt:variant>
        <vt:i4>5</vt:i4>
      </vt:variant>
      <vt:variant>
        <vt:lpwstr>https://eur-lex.europa.eu/legal-content/RO/TXT/HTML/?uri=OJ:L:2018:328:FULL&amp;from=RO</vt:lpwstr>
      </vt:variant>
      <vt:variant>
        <vt:lpwstr>ntr*7-L_2018328RO.01014701-E0020</vt:lpwstr>
      </vt:variant>
      <vt:variant>
        <vt:i4>1900663</vt:i4>
      </vt:variant>
      <vt:variant>
        <vt:i4>165</vt:i4>
      </vt:variant>
      <vt:variant>
        <vt:i4>0</vt:i4>
      </vt:variant>
      <vt:variant>
        <vt:i4>5</vt:i4>
      </vt:variant>
      <vt:variant>
        <vt:lpwstr>https://eur-lex.europa.eu/legal-content/RO/TXT/HTML/?uri=OJ:L:2018:328:FULL&amp;from=RO</vt:lpwstr>
      </vt:variant>
      <vt:variant>
        <vt:lpwstr>ntr*7-L_2018328RO.01014701-E0020</vt:lpwstr>
      </vt:variant>
      <vt:variant>
        <vt:i4>1900663</vt:i4>
      </vt:variant>
      <vt:variant>
        <vt:i4>162</vt:i4>
      </vt:variant>
      <vt:variant>
        <vt:i4>0</vt:i4>
      </vt:variant>
      <vt:variant>
        <vt:i4>5</vt:i4>
      </vt:variant>
      <vt:variant>
        <vt:lpwstr>https://eur-lex.europa.eu/legal-content/RO/TXT/HTML/?uri=OJ:L:2018:328:FULL&amp;from=RO</vt:lpwstr>
      </vt:variant>
      <vt:variant>
        <vt:lpwstr>ntr*7-L_2018328RO.01014701-E0020</vt:lpwstr>
      </vt:variant>
      <vt:variant>
        <vt:i4>1900663</vt:i4>
      </vt:variant>
      <vt:variant>
        <vt:i4>159</vt:i4>
      </vt:variant>
      <vt:variant>
        <vt:i4>0</vt:i4>
      </vt:variant>
      <vt:variant>
        <vt:i4>5</vt:i4>
      </vt:variant>
      <vt:variant>
        <vt:lpwstr>https://eur-lex.europa.eu/legal-content/RO/TXT/HTML/?uri=OJ:L:2018:328:FULL&amp;from=RO</vt:lpwstr>
      </vt:variant>
      <vt:variant>
        <vt:lpwstr>ntr*7-L_2018328RO.01014701-E0020</vt:lpwstr>
      </vt:variant>
      <vt:variant>
        <vt:i4>1900663</vt:i4>
      </vt:variant>
      <vt:variant>
        <vt:i4>156</vt:i4>
      </vt:variant>
      <vt:variant>
        <vt:i4>0</vt:i4>
      </vt:variant>
      <vt:variant>
        <vt:i4>5</vt:i4>
      </vt:variant>
      <vt:variant>
        <vt:lpwstr>https://eur-lex.europa.eu/legal-content/RO/TXT/HTML/?uri=OJ:L:2018:328:FULL&amp;from=RO</vt:lpwstr>
      </vt:variant>
      <vt:variant>
        <vt:lpwstr>ntr*7-L_2018328RO.01014701-E0020</vt:lpwstr>
      </vt:variant>
      <vt:variant>
        <vt:i4>1900663</vt:i4>
      </vt:variant>
      <vt:variant>
        <vt:i4>153</vt:i4>
      </vt:variant>
      <vt:variant>
        <vt:i4>0</vt:i4>
      </vt:variant>
      <vt:variant>
        <vt:i4>5</vt:i4>
      </vt:variant>
      <vt:variant>
        <vt:lpwstr>https://eur-lex.europa.eu/legal-content/RO/TXT/HTML/?uri=OJ:L:2018:328:FULL&amp;from=RO</vt:lpwstr>
      </vt:variant>
      <vt:variant>
        <vt:lpwstr>ntr*7-L_2018328RO.01014701-E0020</vt:lpwstr>
      </vt:variant>
      <vt:variant>
        <vt:i4>1900663</vt:i4>
      </vt:variant>
      <vt:variant>
        <vt:i4>150</vt:i4>
      </vt:variant>
      <vt:variant>
        <vt:i4>0</vt:i4>
      </vt:variant>
      <vt:variant>
        <vt:i4>5</vt:i4>
      </vt:variant>
      <vt:variant>
        <vt:lpwstr>https://eur-lex.europa.eu/legal-content/RO/TXT/HTML/?uri=OJ:L:2018:328:FULL&amp;from=RO</vt:lpwstr>
      </vt:variant>
      <vt:variant>
        <vt:lpwstr>ntr*7-L_2018328RO.01014701-E0020</vt:lpwstr>
      </vt:variant>
      <vt:variant>
        <vt:i4>1310837</vt:i4>
      </vt:variant>
      <vt:variant>
        <vt:i4>147</vt:i4>
      </vt:variant>
      <vt:variant>
        <vt:i4>0</vt:i4>
      </vt:variant>
      <vt:variant>
        <vt:i4>5</vt:i4>
      </vt:variant>
      <vt:variant>
        <vt:lpwstr>https://eur-lex.europa.eu/legal-content/RO/TXT/HTML/?uri=OJ:L:2018:328:FULL&amp;from=RO</vt:lpwstr>
      </vt:variant>
      <vt:variant>
        <vt:lpwstr>ntr*6-L_2018328RO.01014701-E0019</vt:lpwstr>
      </vt:variant>
      <vt:variant>
        <vt:i4>1310837</vt:i4>
      </vt:variant>
      <vt:variant>
        <vt:i4>144</vt:i4>
      </vt:variant>
      <vt:variant>
        <vt:i4>0</vt:i4>
      </vt:variant>
      <vt:variant>
        <vt:i4>5</vt:i4>
      </vt:variant>
      <vt:variant>
        <vt:lpwstr>https://eur-lex.europa.eu/legal-content/RO/TXT/HTML/?uri=OJ:L:2018:328:FULL&amp;from=RO</vt:lpwstr>
      </vt:variant>
      <vt:variant>
        <vt:lpwstr>ntr*6-L_2018328RO.01014701-E0019</vt:lpwstr>
      </vt:variant>
      <vt:variant>
        <vt:i4>1376374</vt:i4>
      </vt:variant>
      <vt:variant>
        <vt:i4>141</vt:i4>
      </vt:variant>
      <vt:variant>
        <vt:i4>0</vt:i4>
      </vt:variant>
      <vt:variant>
        <vt:i4>5</vt:i4>
      </vt:variant>
      <vt:variant>
        <vt:lpwstr>https://eur-lex.europa.eu/legal-content/RO/TXT/HTML/?uri=OJ:L:2018:328:FULL&amp;from=RO</vt:lpwstr>
      </vt:variant>
      <vt:variant>
        <vt:lpwstr>ntr*5-L_2018328RO.01014701-E0018</vt:lpwstr>
      </vt:variant>
      <vt:variant>
        <vt:i4>1376374</vt:i4>
      </vt:variant>
      <vt:variant>
        <vt:i4>138</vt:i4>
      </vt:variant>
      <vt:variant>
        <vt:i4>0</vt:i4>
      </vt:variant>
      <vt:variant>
        <vt:i4>5</vt:i4>
      </vt:variant>
      <vt:variant>
        <vt:lpwstr>https://eur-lex.europa.eu/legal-content/RO/TXT/HTML/?uri=OJ:L:2018:328:FULL&amp;from=RO</vt:lpwstr>
      </vt:variant>
      <vt:variant>
        <vt:lpwstr>ntr*5-L_2018328RO.01014701-E0018</vt:lpwstr>
      </vt:variant>
      <vt:variant>
        <vt:i4>1376374</vt:i4>
      </vt:variant>
      <vt:variant>
        <vt:i4>135</vt:i4>
      </vt:variant>
      <vt:variant>
        <vt:i4>0</vt:i4>
      </vt:variant>
      <vt:variant>
        <vt:i4>5</vt:i4>
      </vt:variant>
      <vt:variant>
        <vt:lpwstr>https://eur-lex.europa.eu/legal-content/RO/TXT/HTML/?uri=OJ:L:2018:328:FULL&amp;from=RO</vt:lpwstr>
      </vt:variant>
      <vt:variant>
        <vt:lpwstr>ntr*5-L_2018328RO.01014701-E0018</vt:lpwstr>
      </vt:variant>
      <vt:variant>
        <vt:i4>1376374</vt:i4>
      </vt:variant>
      <vt:variant>
        <vt:i4>132</vt:i4>
      </vt:variant>
      <vt:variant>
        <vt:i4>0</vt:i4>
      </vt:variant>
      <vt:variant>
        <vt:i4>5</vt:i4>
      </vt:variant>
      <vt:variant>
        <vt:lpwstr>https://eur-lex.europa.eu/legal-content/RO/TXT/HTML/?uri=OJ:L:2018:328:FULL&amp;from=RO</vt:lpwstr>
      </vt:variant>
      <vt:variant>
        <vt:lpwstr>ntr*5-L_2018328RO.01014701-E0018</vt:lpwstr>
      </vt:variant>
      <vt:variant>
        <vt:i4>1376374</vt:i4>
      </vt:variant>
      <vt:variant>
        <vt:i4>129</vt:i4>
      </vt:variant>
      <vt:variant>
        <vt:i4>0</vt:i4>
      </vt:variant>
      <vt:variant>
        <vt:i4>5</vt:i4>
      </vt:variant>
      <vt:variant>
        <vt:lpwstr>https://eur-lex.europa.eu/legal-content/RO/TXT/HTML/?uri=OJ:L:2018:328:FULL&amp;from=RO</vt:lpwstr>
      </vt:variant>
      <vt:variant>
        <vt:lpwstr>ntr*5-L_2018328RO.01014701-E0018</vt:lpwstr>
      </vt:variant>
      <vt:variant>
        <vt:i4>1376374</vt:i4>
      </vt:variant>
      <vt:variant>
        <vt:i4>126</vt:i4>
      </vt:variant>
      <vt:variant>
        <vt:i4>0</vt:i4>
      </vt:variant>
      <vt:variant>
        <vt:i4>5</vt:i4>
      </vt:variant>
      <vt:variant>
        <vt:lpwstr>https://eur-lex.europa.eu/legal-content/RO/TXT/HTML/?uri=OJ:L:2018:328:FULL&amp;from=RO</vt:lpwstr>
      </vt:variant>
      <vt:variant>
        <vt:lpwstr>ntr*5-L_2018328RO.01014701-E0018</vt:lpwstr>
      </vt:variant>
      <vt:variant>
        <vt:i4>1376374</vt:i4>
      </vt:variant>
      <vt:variant>
        <vt:i4>123</vt:i4>
      </vt:variant>
      <vt:variant>
        <vt:i4>0</vt:i4>
      </vt:variant>
      <vt:variant>
        <vt:i4>5</vt:i4>
      </vt:variant>
      <vt:variant>
        <vt:lpwstr>https://eur-lex.europa.eu/legal-content/RO/TXT/HTML/?uri=OJ:L:2018:328:FULL&amp;from=RO</vt:lpwstr>
      </vt:variant>
      <vt:variant>
        <vt:lpwstr>ntr*5-L_2018328RO.01014701-E0018</vt:lpwstr>
      </vt:variant>
      <vt:variant>
        <vt:i4>1376374</vt:i4>
      </vt:variant>
      <vt:variant>
        <vt:i4>120</vt:i4>
      </vt:variant>
      <vt:variant>
        <vt:i4>0</vt:i4>
      </vt:variant>
      <vt:variant>
        <vt:i4>5</vt:i4>
      </vt:variant>
      <vt:variant>
        <vt:lpwstr>https://eur-lex.europa.eu/legal-content/RO/TXT/HTML/?uri=OJ:L:2018:328:FULL&amp;from=RO</vt:lpwstr>
      </vt:variant>
      <vt:variant>
        <vt:lpwstr>ntr*5-L_2018328RO.01014701-E0018</vt:lpwstr>
      </vt:variant>
      <vt:variant>
        <vt:i4>1376374</vt:i4>
      </vt:variant>
      <vt:variant>
        <vt:i4>117</vt:i4>
      </vt:variant>
      <vt:variant>
        <vt:i4>0</vt:i4>
      </vt:variant>
      <vt:variant>
        <vt:i4>5</vt:i4>
      </vt:variant>
      <vt:variant>
        <vt:lpwstr>https://eur-lex.europa.eu/legal-content/RO/TXT/HTML/?uri=OJ:L:2018:328:FULL&amp;from=RO</vt:lpwstr>
      </vt:variant>
      <vt:variant>
        <vt:lpwstr>ntr*5-L_2018328RO.01014701-E0018</vt:lpwstr>
      </vt:variant>
      <vt:variant>
        <vt:i4>1376374</vt:i4>
      </vt:variant>
      <vt:variant>
        <vt:i4>114</vt:i4>
      </vt:variant>
      <vt:variant>
        <vt:i4>0</vt:i4>
      </vt:variant>
      <vt:variant>
        <vt:i4>5</vt:i4>
      </vt:variant>
      <vt:variant>
        <vt:lpwstr>https://eur-lex.europa.eu/legal-content/RO/TXT/HTML/?uri=OJ:L:2018:328:FULL&amp;from=RO</vt:lpwstr>
      </vt:variant>
      <vt:variant>
        <vt:lpwstr>ntr*5-L_2018328RO.01014701-E0018</vt:lpwstr>
      </vt:variant>
      <vt:variant>
        <vt:i4>1704055</vt:i4>
      </vt:variant>
      <vt:variant>
        <vt:i4>111</vt:i4>
      </vt:variant>
      <vt:variant>
        <vt:i4>0</vt:i4>
      </vt:variant>
      <vt:variant>
        <vt:i4>5</vt:i4>
      </vt:variant>
      <vt:variant>
        <vt:lpwstr>https://eur-lex.europa.eu/legal-content/RO/TXT/HTML/?uri=OJ:L:2018:328:FULL&amp;from=RO</vt:lpwstr>
      </vt:variant>
      <vt:variant>
        <vt:lpwstr>ntr*4-L_2018328RO.01014701-E0017</vt:lpwstr>
      </vt:variant>
      <vt:variant>
        <vt:i4>1704055</vt:i4>
      </vt:variant>
      <vt:variant>
        <vt:i4>108</vt:i4>
      </vt:variant>
      <vt:variant>
        <vt:i4>0</vt:i4>
      </vt:variant>
      <vt:variant>
        <vt:i4>5</vt:i4>
      </vt:variant>
      <vt:variant>
        <vt:lpwstr>https://eur-lex.europa.eu/legal-content/RO/TXT/HTML/?uri=OJ:L:2018:328:FULL&amp;from=RO</vt:lpwstr>
      </vt:variant>
      <vt:variant>
        <vt:lpwstr>ntr*4-L_2018328RO.01014701-E0017</vt:lpwstr>
      </vt:variant>
      <vt:variant>
        <vt:i4>1769584</vt:i4>
      </vt:variant>
      <vt:variant>
        <vt:i4>105</vt:i4>
      </vt:variant>
      <vt:variant>
        <vt:i4>0</vt:i4>
      </vt:variant>
      <vt:variant>
        <vt:i4>5</vt:i4>
      </vt:variant>
      <vt:variant>
        <vt:lpwstr>https://eur-lex.europa.eu/legal-content/RO/TXT/HTML/?uri=OJ:L:2018:328:FULL&amp;from=RO</vt:lpwstr>
      </vt:variant>
      <vt:variant>
        <vt:lpwstr>ntr*3-L_2018328RO.01014701-E0016</vt:lpwstr>
      </vt:variant>
      <vt:variant>
        <vt:i4>1769584</vt:i4>
      </vt:variant>
      <vt:variant>
        <vt:i4>102</vt:i4>
      </vt:variant>
      <vt:variant>
        <vt:i4>0</vt:i4>
      </vt:variant>
      <vt:variant>
        <vt:i4>5</vt:i4>
      </vt:variant>
      <vt:variant>
        <vt:lpwstr>https://eur-lex.europa.eu/legal-content/RO/TXT/HTML/?uri=OJ:L:2018:328:FULL&amp;from=RO</vt:lpwstr>
      </vt:variant>
      <vt:variant>
        <vt:lpwstr>ntr*3-L_2018328RO.01014701-E0016</vt:lpwstr>
      </vt:variant>
      <vt:variant>
        <vt:i4>1769584</vt:i4>
      </vt:variant>
      <vt:variant>
        <vt:i4>99</vt:i4>
      </vt:variant>
      <vt:variant>
        <vt:i4>0</vt:i4>
      </vt:variant>
      <vt:variant>
        <vt:i4>5</vt:i4>
      </vt:variant>
      <vt:variant>
        <vt:lpwstr>https://eur-lex.europa.eu/legal-content/RO/TXT/HTML/?uri=OJ:L:2018:328:FULL&amp;from=RO</vt:lpwstr>
      </vt:variant>
      <vt:variant>
        <vt:lpwstr>ntr*3-L_2018328RO.01014701-E0016</vt:lpwstr>
      </vt:variant>
      <vt:variant>
        <vt:i4>1769584</vt:i4>
      </vt:variant>
      <vt:variant>
        <vt:i4>96</vt:i4>
      </vt:variant>
      <vt:variant>
        <vt:i4>0</vt:i4>
      </vt:variant>
      <vt:variant>
        <vt:i4>5</vt:i4>
      </vt:variant>
      <vt:variant>
        <vt:lpwstr>https://eur-lex.europa.eu/legal-content/RO/TXT/HTML/?uri=OJ:L:2018:328:FULL&amp;from=RO</vt:lpwstr>
      </vt:variant>
      <vt:variant>
        <vt:lpwstr>ntr*3-L_2018328RO.01014701-E0016</vt:lpwstr>
      </vt:variant>
      <vt:variant>
        <vt:i4>1769584</vt:i4>
      </vt:variant>
      <vt:variant>
        <vt:i4>93</vt:i4>
      </vt:variant>
      <vt:variant>
        <vt:i4>0</vt:i4>
      </vt:variant>
      <vt:variant>
        <vt:i4>5</vt:i4>
      </vt:variant>
      <vt:variant>
        <vt:lpwstr>https://eur-lex.europa.eu/legal-content/RO/TXT/HTML/?uri=OJ:L:2018:328:FULL&amp;from=RO</vt:lpwstr>
      </vt:variant>
      <vt:variant>
        <vt:lpwstr>ntr*3-L_2018328RO.01014701-E0016</vt:lpwstr>
      </vt:variant>
      <vt:variant>
        <vt:i4>1769584</vt:i4>
      </vt:variant>
      <vt:variant>
        <vt:i4>90</vt:i4>
      </vt:variant>
      <vt:variant>
        <vt:i4>0</vt:i4>
      </vt:variant>
      <vt:variant>
        <vt:i4>5</vt:i4>
      </vt:variant>
      <vt:variant>
        <vt:lpwstr>https://eur-lex.europa.eu/legal-content/RO/TXT/HTML/?uri=OJ:L:2018:328:FULL&amp;from=RO</vt:lpwstr>
      </vt:variant>
      <vt:variant>
        <vt:lpwstr>ntr*3-L_2018328RO.01014701-E0016</vt:lpwstr>
      </vt:variant>
      <vt:variant>
        <vt:i4>1769584</vt:i4>
      </vt:variant>
      <vt:variant>
        <vt:i4>87</vt:i4>
      </vt:variant>
      <vt:variant>
        <vt:i4>0</vt:i4>
      </vt:variant>
      <vt:variant>
        <vt:i4>5</vt:i4>
      </vt:variant>
      <vt:variant>
        <vt:lpwstr>https://eur-lex.europa.eu/legal-content/RO/TXT/HTML/?uri=OJ:L:2018:328:FULL&amp;from=RO</vt:lpwstr>
      </vt:variant>
      <vt:variant>
        <vt:lpwstr>ntr*3-L_2018328RO.01014701-E0016</vt:lpwstr>
      </vt:variant>
      <vt:variant>
        <vt:i4>1769584</vt:i4>
      </vt:variant>
      <vt:variant>
        <vt:i4>84</vt:i4>
      </vt:variant>
      <vt:variant>
        <vt:i4>0</vt:i4>
      </vt:variant>
      <vt:variant>
        <vt:i4>5</vt:i4>
      </vt:variant>
      <vt:variant>
        <vt:lpwstr>https://eur-lex.europa.eu/legal-content/RO/TXT/HTML/?uri=OJ:L:2018:328:FULL&amp;from=RO</vt:lpwstr>
      </vt:variant>
      <vt:variant>
        <vt:lpwstr>ntr*3-L_2018328RO.01014701-E0016</vt:lpwstr>
      </vt:variant>
      <vt:variant>
        <vt:i4>1769584</vt:i4>
      </vt:variant>
      <vt:variant>
        <vt:i4>81</vt:i4>
      </vt:variant>
      <vt:variant>
        <vt:i4>0</vt:i4>
      </vt:variant>
      <vt:variant>
        <vt:i4>5</vt:i4>
      </vt:variant>
      <vt:variant>
        <vt:lpwstr>https://eur-lex.europa.eu/legal-content/RO/TXT/HTML/?uri=OJ:L:2018:328:FULL&amp;from=RO</vt:lpwstr>
      </vt:variant>
      <vt:variant>
        <vt:lpwstr>ntr*3-L_2018328RO.01014701-E0016</vt:lpwstr>
      </vt:variant>
      <vt:variant>
        <vt:i4>1769584</vt:i4>
      </vt:variant>
      <vt:variant>
        <vt:i4>78</vt:i4>
      </vt:variant>
      <vt:variant>
        <vt:i4>0</vt:i4>
      </vt:variant>
      <vt:variant>
        <vt:i4>5</vt:i4>
      </vt:variant>
      <vt:variant>
        <vt:lpwstr>https://eur-lex.europa.eu/legal-content/RO/TXT/HTML/?uri=OJ:L:2018:328:FULL&amp;from=RO</vt:lpwstr>
      </vt:variant>
      <vt:variant>
        <vt:lpwstr>ntr*3-L_2018328RO.01014701-E0016</vt:lpwstr>
      </vt:variant>
      <vt:variant>
        <vt:i4>1572969</vt:i4>
      </vt:variant>
      <vt:variant>
        <vt:i4>75</vt:i4>
      </vt:variant>
      <vt:variant>
        <vt:i4>0</vt:i4>
      </vt:variant>
      <vt:variant>
        <vt:i4>5</vt:i4>
      </vt:variant>
      <vt:variant>
        <vt:lpwstr>https://eur-lex.europa.eu/legal-content/RO/TXT/HTML/?uri=OJ:L:2018:328:FULL&amp;from=RO</vt:lpwstr>
      </vt:variant>
      <vt:variant>
        <vt:lpwstr>ntr**-L_2018328RO.01014701-E0015</vt:lpwstr>
      </vt:variant>
      <vt:variant>
        <vt:i4>1572969</vt:i4>
      </vt:variant>
      <vt:variant>
        <vt:i4>72</vt:i4>
      </vt:variant>
      <vt:variant>
        <vt:i4>0</vt:i4>
      </vt:variant>
      <vt:variant>
        <vt:i4>5</vt:i4>
      </vt:variant>
      <vt:variant>
        <vt:lpwstr>https://eur-lex.europa.eu/legal-content/RO/TXT/HTML/?uri=OJ:L:2018:328:FULL&amp;from=RO</vt:lpwstr>
      </vt:variant>
      <vt:variant>
        <vt:lpwstr>ntr**-L_2018328RO.01014701-E0015</vt:lpwstr>
      </vt:variant>
      <vt:variant>
        <vt:i4>1638513</vt:i4>
      </vt:variant>
      <vt:variant>
        <vt:i4>69</vt:i4>
      </vt:variant>
      <vt:variant>
        <vt:i4>0</vt:i4>
      </vt:variant>
      <vt:variant>
        <vt:i4>5</vt:i4>
      </vt:variant>
      <vt:variant>
        <vt:lpwstr>https://eur-lex.europa.eu/legal-content/RO/TXT/HTML/?uri=OJ:L:2018:328:FULL&amp;from=RO</vt:lpwstr>
      </vt:variant>
      <vt:variant>
        <vt:lpwstr>ntr*2-L_2018328RO.01014701-E0014</vt:lpwstr>
      </vt:variant>
      <vt:variant>
        <vt:i4>1638513</vt:i4>
      </vt:variant>
      <vt:variant>
        <vt:i4>66</vt:i4>
      </vt:variant>
      <vt:variant>
        <vt:i4>0</vt:i4>
      </vt:variant>
      <vt:variant>
        <vt:i4>5</vt:i4>
      </vt:variant>
      <vt:variant>
        <vt:lpwstr>https://eur-lex.europa.eu/legal-content/RO/TXT/HTML/?uri=OJ:L:2018:328:FULL&amp;from=RO</vt:lpwstr>
      </vt:variant>
      <vt:variant>
        <vt:lpwstr>ntr*2-L_2018328RO.01014701-E0014</vt:lpwstr>
      </vt:variant>
      <vt:variant>
        <vt:i4>1966194</vt:i4>
      </vt:variant>
      <vt:variant>
        <vt:i4>63</vt:i4>
      </vt:variant>
      <vt:variant>
        <vt:i4>0</vt:i4>
      </vt:variant>
      <vt:variant>
        <vt:i4>5</vt:i4>
      </vt:variant>
      <vt:variant>
        <vt:lpwstr>https://eur-lex.europa.eu/legal-content/RO/TXT/HTML/?uri=OJ:L:2018:328:FULL&amp;from=RO</vt:lpwstr>
      </vt:variant>
      <vt:variant>
        <vt:lpwstr>ntr*1-L_2018328RO.01014701-E0013</vt:lpwstr>
      </vt:variant>
      <vt:variant>
        <vt:i4>1966194</vt:i4>
      </vt:variant>
      <vt:variant>
        <vt:i4>60</vt:i4>
      </vt:variant>
      <vt:variant>
        <vt:i4>0</vt:i4>
      </vt:variant>
      <vt:variant>
        <vt:i4>5</vt:i4>
      </vt:variant>
      <vt:variant>
        <vt:lpwstr>https://eur-lex.europa.eu/legal-content/RO/TXT/HTML/?uri=OJ:L:2018:328:FULL&amp;from=RO</vt:lpwstr>
      </vt:variant>
      <vt:variant>
        <vt:lpwstr>ntr*1-L_2018328RO.01014701-E0013</vt:lpwstr>
      </vt:variant>
      <vt:variant>
        <vt:i4>1966194</vt:i4>
      </vt:variant>
      <vt:variant>
        <vt:i4>57</vt:i4>
      </vt:variant>
      <vt:variant>
        <vt:i4>0</vt:i4>
      </vt:variant>
      <vt:variant>
        <vt:i4>5</vt:i4>
      </vt:variant>
      <vt:variant>
        <vt:lpwstr>https://eur-lex.europa.eu/legal-content/RO/TXT/HTML/?uri=OJ:L:2018:328:FULL&amp;from=RO</vt:lpwstr>
      </vt:variant>
      <vt:variant>
        <vt:lpwstr>ntr*1-L_2018328RO.01014701-E0013</vt:lpwstr>
      </vt:variant>
      <vt:variant>
        <vt:i4>1966194</vt:i4>
      </vt:variant>
      <vt:variant>
        <vt:i4>54</vt:i4>
      </vt:variant>
      <vt:variant>
        <vt:i4>0</vt:i4>
      </vt:variant>
      <vt:variant>
        <vt:i4>5</vt:i4>
      </vt:variant>
      <vt:variant>
        <vt:lpwstr>https://eur-lex.europa.eu/legal-content/RO/TXT/HTML/?uri=OJ:L:2018:328:FULL&amp;from=RO</vt:lpwstr>
      </vt:variant>
      <vt:variant>
        <vt:lpwstr>ntr*1-L_2018328RO.01014701-E0013</vt:lpwstr>
      </vt:variant>
      <vt:variant>
        <vt:i4>1966194</vt:i4>
      </vt:variant>
      <vt:variant>
        <vt:i4>51</vt:i4>
      </vt:variant>
      <vt:variant>
        <vt:i4>0</vt:i4>
      </vt:variant>
      <vt:variant>
        <vt:i4>5</vt:i4>
      </vt:variant>
      <vt:variant>
        <vt:lpwstr>https://eur-lex.europa.eu/legal-content/RO/TXT/HTML/?uri=OJ:L:2018:328:FULL&amp;from=RO</vt:lpwstr>
      </vt:variant>
      <vt:variant>
        <vt:lpwstr>ntr*1-L_2018328RO.01014701-E0013</vt:lpwstr>
      </vt:variant>
      <vt:variant>
        <vt:i4>1966194</vt:i4>
      </vt:variant>
      <vt:variant>
        <vt:i4>48</vt:i4>
      </vt:variant>
      <vt:variant>
        <vt:i4>0</vt:i4>
      </vt:variant>
      <vt:variant>
        <vt:i4>5</vt:i4>
      </vt:variant>
      <vt:variant>
        <vt:lpwstr>https://eur-lex.europa.eu/legal-content/RO/TXT/HTML/?uri=OJ:L:2018:328:FULL&amp;from=RO</vt:lpwstr>
      </vt:variant>
      <vt:variant>
        <vt:lpwstr>ntr*1-L_2018328RO.01014701-E0013</vt:lpwstr>
      </vt:variant>
      <vt:variant>
        <vt:i4>1966194</vt:i4>
      </vt:variant>
      <vt:variant>
        <vt:i4>45</vt:i4>
      </vt:variant>
      <vt:variant>
        <vt:i4>0</vt:i4>
      </vt:variant>
      <vt:variant>
        <vt:i4>5</vt:i4>
      </vt:variant>
      <vt:variant>
        <vt:lpwstr>https://eur-lex.europa.eu/legal-content/RO/TXT/HTML/?uri=OJ:L:2018:328:FULL&amp;from=RO</vt:lpwstr>
      </vt:variant>
      <vt:variant>
        <vt:lpwstr>ntr*1-L_2018328RO.01014701-E0013</vt:lpwstr>
      </vt:variant>
      <vt:variant>
        <vt:i4>1966194</vt:i4>
      </vt:variant>
      <vt:variant>
        <vt:i4>42</vt:i4>
      </vt:variant>
      <vt:variant>
        <vt:i4>0</vt:i4>
      </vt:variant>
      <vt:variant>
        <vt:i4>5</vt:i4>
      </vt:variant>
      <vt:variant>
        <vt:lpwstr>https://eur-lex.europa.eu/legal-content/RO/TXT/HTML/?uri=OJ:L:2018:328:FULL&amp;from=RO</vt:lpwstr>
      </vt:variant>
      <vt:variant>
        <vt:lpwstr>ntr*1-L_2018328RO.01014701-E0013</vt:lpwstr>
      </vt:variant>
      <vt:variant>
        <vt:i4>1966194</vt:i4>
      </vt:variant>
      <vt:variant>
        <vt:i4>39</vt:i4>
      </vt:variant>
      <vt:variant>
        <vt:i4>0</vt:i4>
      </vt:variant>
      <vt:variant>
        <vt:i4>5</vt:i4>
      </vt:variant>
      <vt:variant>
        <vt:lpwstr>https://eur-lex.europa.eu/legal-content/RO/TXT/HTML/?uri=OJ:L:2018:328:FULL&amp;from=RO</vt:lpwstr>
      </vt:variant>
      <vt:variant>
        <vt:lpwstr>ntr*1-L_2018328RO.01014701-E0013</vt:lpwstr>
      </vt:variant>
      <vt:variant>
        <vt:i4>1966194</vt:i4>
      </vt:variant>
      <vt:variant>
        <vt:i4>36</vt:i4>
      </vt:variant>
      <vt:variant>
        <vt:i4>0</vt:i4>
      </vt:variant>
      <vt:variant>
        <vt:i4>5</vt:i4>
      </vt:variant>
      <vt:variant>
        <vt:lpwstr>https://eur-lex.europa.eu/legal-content/RO/TXT/HTML/?uri=OJ:L:2018:328:FULL&amp;from=RO</vt:lpwstr>
      </vt:variant>
      <vt:variant>
        <vt:lpwstr>ntr*1-L_2018328RO.01014701-E0013</vt:lpwstr>
      </vt:variant>
      <vt:variant>
        <vt:i4>2031721</vt:i4>
      </vt:variant>
      <vt:variant>
        <vt:i4>33</vt:i4>
      </vt:variant>
      <vt:variant>
        <vt:i4>0</vt:i4>
      </vt:variant>
      <vt:variant>
        <vt:i4>5</vt:i4>
      </vt:variant>
      <vt:variant>
        <vt:lpwstr>https://eur-lex.europa.eu/legal-content/RO/TXT/HTML/?uri=OJ:L:2018:328:FULL&amp;from=RO</vt:lpwstr>
      </vt:variant>
      <vt:variant>
        <vt:lpwstr>ntr**-L_2018328RO.01014701-E0012</vt:lpwstr>
      </vt:variant>
      <vt:variant>
        <vt:i4>2031721</vt:i4>
      </vt:variant>
      <vt:variant>
        <vt:i4>30</vt:i4>
      </vt:variant>
      <vt:variant>
        <vt:i4>0</vt:i4>
      </vt:variant>
      <vt:variant>
        <vt:i4>5</vt:i4>
      </vt:variant>
      <vt:variant>
        <vt:lpwstr>https://eur-lex.europa.eu/legal-content/RO/TXT/HTML/?uri=OJ:L:2018:328:FULL&amp;from=RO</vt:lpwstr>
      </vt:variant>
      <vt:variant>
        <vt:lpwstr>ntr**-L_2018328RO.01014701-E0012</vt:lpwstr>
      </vt:variant>
      <vt:variant>
        <vt:i4>1835113</vt:i4>
      </vt:variant>
      <vt:variant>
        <vt:i4>27</vt:i4>
      </vt:variant>
      <vt:variant>
        <vt:i4>0</vt:i4>
      </vt:variant>
      <vt:variant>
        <vt:i4>5</vt:i4>
      </vt:variant>
      <vt:variant>
        <vt:lpwstr>https://eur-lex.europa.eu/legal-content/RO/TXT/HTML/?uri=OJ:L:2018:328:FULL&amp;from=RO</vt:lpwstr>
      </vt:variant>
      <vt:variant>
        <vt:lpwstr>ntr**-L_2018328RO.01014701-E0011</vt:lpwstr>
      </vt:variant>
      <vt:variant>
        <vt:i4>1835113</vt:i4>
      </vt:variant>
      <vt:variant>
        <vt:i4>24</vt:i4>
      </vt:variant>
      <vt:variant>
        <vt:i4>0</vt:i4>
      </vt:variant>
      <vt:variant>
        <vt:i4>5</vt:i4>
      </vt:variant>
      <vt:variant>
        <vt:lpwstr>https://eur-lex.europa.eu/legal-content/RO/TXT/HTML/?uri=OJ:L:2018:328:FULL&amp;from=RO</vt:lpwstr>
      </vt:variant>
      <vt:variant>
        <vt:lpwstr>ntr**-L_2018328RO.01014701-E0011</vt:lpwstr>
      </vt:variant>
      <vt:variant>
        <vt:i4>655475</vt:i4>
      </vt:variant>
      <vt:variant>
        <vt:i4>21</vt:i4>
      </vt:variant>
      <vt:variant>
        <vt:i4>0</vt:i4>
      </vt:variant>
      <vt:variant>
        <vt:i4>5</vt:i4>
      </vt:variant>
      <vt:variant>
        <vt:lpwstr>https://eur-lex.europa.eu/legal-content/RO/TXT/HTML/?uri=OJ:L:2018:328:FULL&amp;from=RO</vt:lpwstr>
      </vt:variant>
      <vt:variant>
        <vt:lpwstr>ntr13-L_2018328RO.01017201-E0019</vt:lpwstr>
      </vt:variant>
      <vt:variant>
        <vt:i4>5570599</vt:i4>
      </vt:variant>
      <vt:variant>
        <vt:i4>18</vt:i4>
      </vt:variant>
      <vt:variant>
        <vt:i4>0</vt:i4>
      </vt:variant>
      <vt:variant>
        <vt:i4>5</vt:i4>
      </vt:variant>
      <vt:variant>
        <vt:lpwstr>https://eur-lex.europa.eu/legal-content/RO/TXT/HTML/?uri=OJ:L:2018:328:FULL&amp;from=RO</vt:lpwstr>
      </vt:variant>
      <vt:variant>
        <vt:lpwstr>ntr7-L_2018328RO.01014701-E0007</vt:lpwstr>
      </vt:variant>
      <vt:variant>
        <vt:i4>5505063</vt:i4>
      </vt:variant>
      <vt:variant>
        <vt:i4>15</vt:i4>
      </vt:variant>
      <vt:variant>
        <vt:i4>0</vt:i4>
      </vt:variant>
      <vt:variant>
        <vt:i4>5</vt:i4>
      </vt:variant>
      <vt:variant>
        <vt:lpwstr>https://eur-lex.europa.eu/legal-content/RO/TXT/HTML/?uri=OJ:L:2018:328:FULL&amp;from=RO</vt:lpwstr>
      </vt:variant>
      <vt:variant>
        <vt:lpwstr>ntr6-L_2018328RO.01014701-E0006</vt:lpwstr>
      </vt:variant>
      <vt:variant>
        <vt:i4>5701671</vt:i4>
      </vt:variant>
      <vt:variant>
        <vt:i4>12</vt:i4>
      </vt:variant>
      <vt:variant>
        <vt:i4>0</vt:i4>
      </vt:variant>
      <vt:variant>
        <vt:i4>5</vt:i4>
      </vt:variant>
      <vt:variant>
        <vt:lpwstr>https://eur-lex.europa.eu/legal-content/RO/TXT/HTML/?uri=OJ:L:2018:328:FULL&amp;from=RO</vt:lpwstr>
      </vt:variant>
      <vt:variant>
        <vt:lpwstr>ntr5-L_2018328RO.01014701-E0005</vt:lpwstr>
      </vt:variant>
      <vt:variant>
        <vt:i4>5636135</vt:i4>
      </vt:variant>
      <vt:variant>
        <vt:i4>9</vt:i4>
      </vt:variant>
      <vt:variant>
        <vt:i4>0</vt:i4>
      </vt:variant>
      <vt:variant>
        <vt:i4>5</vt:i4>
      </vt:variant>
      <vt:variant>
        <vt:lpwstr>https://eur-lex.europa.eu/legal-content/RO/TXT/HTML/?uri=OJ:L:2018:328:FULL&amp;from=RO</vt:lpwstr>
      </vt:variant>
      <vt:variant>
        <vt:lpwstr>ntr4-L_2018328RO.01014701-E0004</vt:lpwstr>
      </vt:variant>
      <vt:variant>
        <vt:i4>5308455</vt:i4>
      </vt:variant>
      <vt:variant>
        <vt:i4>6</vt:i4>
      </vt:variant>
      <vt:variant>
        <vt:i4>0</vt:i4>
      </vt:variant>
      <vt:variant>
        <vt:i4>5</vt:i4>
      </vt:variant>
      <vt:variant>
        <vt:lpwstr>https://eur-lex.europa.eu/legal-content/RO/TXT/HTML/?uri=OJ:L:2018:328:FULL&amp;from=RO</vt:lpwstr>
      </vt:variant>
      <vt:variant>
        <vt:lpwstr>ntr3-L_2018328RO.01014701-E0003</vt:lpwstr>
      </vt:variant>
      <vt:variant>
        <vt:i4>5242919</vt:i4>
      </vt:variant>
      <vt:variant>
        <vt:i4>3</vt:i4>
      </vt:variant>
      <vt:variant>
        <vt:i4>0</vt:i4>
      </vt:variant>
      <vt:variant>
        <vt:i4>5</vt:i4>
      </vt:variant>
      <vt:variant>
        <vt:lpwstr>https://eur-lex.europa.eu/legal-content/RO/TXT/HTML/?uri=OJ:L:2018:328:FULL&amp;from=RO</vt:lpwstr>
      </vt:variant>
      <vt:variant>
        <vt:lpwstr>ntr2-L_2018328RO.01014701-E0002</vt:lpwstr>
      </vt:variant>
      <vt:variant>
        <vt:i4>5439527</vt:i4>
      </vt:variant>
      <vt:variant>
        <vt:i4>0</vt:i4>
      </vt:variant>
      <vt:variant>
        <vt:i4>0</vt:i4>
      </vt:variant>
      <vt:variant>
        <vt:i4>5</vt:i4>
      </vt:variant>
      <vt:variant>
        <vt:lpwstr>https://eur-lex.europa.eu/legal-content/RO/TXT/HTML/?uri=OJ:L:2018:328:FULL&amp;from=RO</vt:lpwstr>
      </vt:variant>
      <vt:variant>
        <vt:lpwstr>ntr1-L_2018328RO.01014701-E0001</vt:lpwstr>
      </vt:variant>
      <vt:variant>
        <vt:i4>2293789</vt:i4>
      </vt:variant>
      <vt:variant>
        <vt:i4>-1</vt:i4>
      </vt:variant>
      <vt:variant>
        <vt:i4>2054</vt:i4>
      </vt:variant>
      <vt:variant>
        <vt:i4>1</vt:i4>
      </vt:variant>
      <vt:variant>
        <vt:lpwstr>cid:image001.jpg@01D40703.259009C0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Jipa</dc:creator>
  <cp:keywords/>
  <dc:description/>
  <cp:lastModifiedBy>user</cp:lastModifiedBy>
  <cp:revision>2</cp:revision>
  <dcterms:created xsi:type="dcterms:W3CDTF">2024-10-23T16:45:00Z</dcterms:created>
  <dcterms:modified xsi:type="dcterms:W3CDTF">2024-10-23T16:45:00Z</dcterms:modified>
</cp:coreProperties>
</file>