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4AA7" w14:textId="74AA1EFE" w:rsidR="000A48C4" w:rsidRPr="00A448E4" w:rsidRDefault="000A48C4" w:rsidP="00A13B6C">
      <w:pPr>
        <w:spacing w:after="120" w:line="240" w:lineRule="auto"/>
        <w:rPr>
          <w:sz w:val="32"/>
          <w:szCs w:val="32"/>
        </w:rPr>
      </w:pPr>
    </w:p>
    <w:p w14:paraId="0D1DB0C1" w14:textId="77777777" w:rsidR="000A48C4" w:rsidRPr="00A448E4" w:rsidRDefault="000A48C4" w:rsidP="000A48C4">
      <w:pPr>
        <w:spacing w:after="120" w:line="240" w:lineRule="auto"/>
        <w:jc w:val="center"/>
        <w:rPr>
          <w:b/>
          <w:bCs/>
          <w:sz w:val="32"/>
          <w:szCs w:val="32"/>
        </w:rPr>
      </w:pPr>
      <w:r w:rsidRPr="00A448E4">
        <w:rPr>
          <w:b/>
          <w:bCs/>
          <w:sz w:val="32"/>
          <w:szCs w:val="32"/>
        </w:rPr>
        <w:t>REFERAT DE APROBARE</w:t>
      </w:r>
    </w:p>
    <w:p w14:paraId="37C7B206" w14:textId="77777777" w:rsidR="0095239A" w:rsidRPr="0095239A" w:rsidRDefault="0095239A" w:rsidP="0095239A">
      <w:pPr>
        <w:spacing w:after="0" w:line="240" w:lineRule="auto"/>
        <w:ind w:right="364" w:firstLine="720"/>
        <w:jc w:val="center"/>
        <w:rPr>
          <w:rFonts w:eastAsia="Times New Roman" w:cs="Times New Roman"/>
          <w:b/>
          <w:sz w:val="28"/>
          <w:szCs w:val="28"/>
        </w:rPr>
      </w:pPr>
    </w:p>
    <w:p w14:paraId="0305533F" w14:textId="0619E400" w:rsidR="0095239A" w:rsidRPr="0095239A" w:rsidRDefault="0095239A" w:rsidP="0095239A">
      <w:pPr>
        <w:tabs>
          <w:tab w:val="left" w:pos="284"/>
        </w:tabs>
        <w:spacing w:after="0" w:line="240" w:lineRule="auto"/>
        <w:jc w:val="center"/>
        <w:rPr>
          <w:rFonts w:eastAsia="Times New Roman" w:cs="Times New Roman"/>
          <w:sz w:val="28"/>
          <w:szCs w:val="28"/>
        </w:rPr>
      </w:pPr>
      <w:r w:rsidRPr="0095239A">
        <w:rPr>
          <w:rFonts w:eastAsia="Times New Roman" w:cs="Times New Roman"/>
          <w:sz w:val="28"/>
          <w:szCs w:val="28"/>
        </w:rPr>
        <w:t>al proiectu</w:t>
      </w:r>
      <w:r>
        <w:rPr>
          <w:rFonts w:eastAsia="Times New Roman" w:cs="Times New Roman"/>
          <w:sz w:val="28"/>
          <w:szCs w:val="28"/>
        </w:rPr>
        <w:t xml:space="preserve">lui de ordin al ministrului </w:t>
      </w:r>
      <w:r w:rsidRPr="0095239A">
        <w:rPr>
          <w:rFonts w:eastAsia="Times New Roman" w:cs="Times New Roman"/>
          <w:sz w:val="28"/>
          <w:szCs w:val="28"/>
        </w:rPr>
        <w:t>dezvoltării</w:t>
      </w:r>
      <w:r>
        <w:rPr>
          <w:rFonts w:eastAsia="Times New Roman" w:cs="Times New Roman"/>
          <w:sz w:val="28"/>
          <w:szCs w:val="28"/>
        </w:rPr>
        <w:t>,</w:t>
      </w:r>
      <w:r w:rsidRPr="0095239A">
        <w:rPr>
          <w:rFonts w:eastAsia="Times New Roman" w:cs="Times New Roman"/>
          <w:sz w:val="28"/>
          <w:szCs w:val="28"/>
        </w:rPr>
        <w:t xml:space="preserve"> lucrărilor publice și administraţiei şi al </w:t>
      </w:r>
      <w:r>
        <w:rPr>
          <w:rFonts w:eastAsia="Times New Roman" w:cs="Times New Roman"/>
          <w:sz w:val="28"/>
          <w:szCs w:val="28"/>
        </w:rPr>
        <w:t>ministrului finanţelor</w:t>
      </w:r>
      <w:r w:rsidRPr="0095239A">
        <w:rPr>
          <w:rFonts w:eastAsia="Times New Roman" w:cs="Times New Roman"/>
          <w:sz w:val="28"/>
          <w:szCs w:val="28"/>
        </w:rPr>
        <w:t xml:space="preserve"> pentru aplicarea la nivelul municipiului București a prevederilor alin. (5) al art. 3 din Ordonanţa Guvernului nr. 36/2006 privind unele măsuri pentru funcţionarea sistemelor  centralizate de alimentare cu energie termică a populaţiei</w:t>
      </w:r>
    </w:p>
    <w:p w14:paraId="7E573ACD" w14:textId="77777777" w:rsidR="0095239A" w:rsidRPr="0095239A" w:rsidRDefault="0095239A" w:rsidP="0095239A">
      <w:pPr>
        <w:spacing w:after="0" w:line="240" w:lineRule="auto"/>
        <w:ind w:right="364" w:firstLine="720"/>
        <w:jc w:val="center"/>
        <w:rPr>
          <w:rFonts w:eastAsia="Times New Roman" w:cs="Times New Roman"/>
          <w:sz w:val="28"/>
          <w:szCs w:val="28"/>
        </w:rPr>
      </w:pPr>
    </w:p>
    <w:p w14:paraId="7377BD0A" w14:textId="77777777" w:rsidR="0095239A" w:rsidRPr="0095239A" w:rsidRDefault="0095239A" w:rsidP="0095239A">
      <w:pPr>
        <w:spacing w:after="0" w:line="240" w:lineRule="auto"/>
        <w:ind w:right="364" w:firstLine="720"/>
        <w:rPr>
          <w:rFonts w:eastAsia="Times New Roman" w:cs="Times New Roman"/>
          <w:sz w:val="28"/>
          <w:szCs w:val="28"/>
        </w:rPr>
      </w:pPr>
    </w:p>
    <w:p w14:paraId="539C0F0F" w14:textId="77777777" w:rsidR="0095239A" w:rsidRPr="0095239A" w:rsidRDefault="0095239A" w:rsidP="00754381">
      <w:pPr>
        <w:spacing w:after="120" w:line="240" w:lineRule="auto"/>
        <w:ind w:firstLine="720"/>
        <w:jc w:val="both"/>
        <w:rPr>
          <w:rFonts w:eastAsia="Times New Roman" w:cs="Times New Roman"/>
          <w:bCs/>
          <w:sz w:val="28"/>
          <w:szCs w:val="28"/>
        </w:rPr>
      </w:pPr>
      <w:r w:rsidRPr="0095239A">
        <w:rPr>
          <w:rFonts w:eastAsia="Times New Roman" w:cs="Times New Roman"/>
          <w:bCs/>
          <w:sz w:val="28"/>
          <w:szCs w:val="28"/>
        </w:rPr>
        <w:t xml:space="preserve">Începând cu data intrării în vigoare a </w:t>
      </w:r>
      <w:r w:rsidRPr="0095239A">
        <w:rPr>
          <w:rFonts w:eastAsia="Times New Roman" w:cs="Times New Roman"/>
          <w:bCs/>
          <w:i/>
          <w:sz w:val="28"/>
          <w:szCs w:val="28"/>
        </w:rPr>
        <w:t xml:space="preserve">Ordonanţei Guvernului nr. 69/2011 pentru modificarea şi completarea Ordonanței Guvernului nr. 36/2006 privind unele măsuri pentru funcţionarea sistemelor centralizate de alimentare cu energie termică a populaţiei, </w:t>
      </w:r>
      <w:r w:rsidRPr="0095239A">
        <w:rPr>
          <w:rFonts w:eastAsia="Times New Roman" w:cs="Times New Roman"/>
          <w:bCs/>
          <w:sz w:val="28"/>
          <w:szCs w:val="28"/>
        </w:rPr>
        <w:t xml:space="preserve">diferenţa dintre preţul de producere, transport, distribuţie şi furnizare a energiei termice în sistem centralizat (reglementat de autoritatea competentă) şi preţul local al energiei termice facturate populaţiei, se suportă integral de la bugetul unităţii administrativ teritoriale. </w:t>
      </w:r>
    </w:p>
    <w:p w14:paraId="24FA97FB" w14:textId="47A4B169" w:rsidR="0095239A" w:rsidRPr="0095239A" w:rsidRDefault="0095239A" w:rsidP="00754381">
      <w:pPr>
        <w:tabs>
          <w:tab w:val="left" w:pos="10206"/>
        </w:tabs>
        <w:spacing w:after="120" w:line="240" w:lineRule="auto"/>
        <w:ind w:firstLine="720"/>
        <w:jc w:val="both"/>
        <w:rPr>
          <w:rFonts w:eastAsia="Times New Roman" w:cs="Times New Roman"/>
          <w:bCs/>
          <w:sz w:val="28"/>
          <w:szCs w:val="28"/>
        </w:rPr>
      </w:pPr>
      <w:r w:rsidRPr="0095239A">
        <w:rPr>
          <w:rFonts w:eastAsia="Times New Roman" w:cs="Times New Roman"/>
          <w:bCs/>
          <w:sz w:val="28"/>
          <w:szCs w:val="28"/>
        </w:rPr>
        <w:t xml:space="preserve">În aceste condiţii, dacă la nivelul unităţii administrativ-teritoriale se aprobă un preţ local al energiei termice facturată </w:t>
      </w:r>
      <w:r w:rsidR="00366F91" w:rsidRPr="0095239A">
        <w:rPr>
          <w:rFonts w:eastAsia="Times New Roman" w:cs="Times New Roman"/>
          <w:bCs/>
          <w:sz w:val="28"/>
          <w:szCs w:val="28"/>
        </w:rPr>
        <w:t>populației</w:t>
      </w:r>
      <w:r w:rsidRPr="0095239A">
        <w:rPr>
          <w:rFonts w:eastAsia="Times New Roman" w:cs="Times New Roman"/>
          <w:bCs/>
          <w:sz w:val="28"/>
          <w:szCs w:val="28"/>
        </w:rPr>
        <w:t xml:space="preserve"> mai mic decât preţul reglementat, atunci se vor asigura din bugetul local sumele necesare acoperirii diferenţei dintre preţul de producere, transport, distribuţie şi furnizare a energiei termice livrate populaţiei şi preţul local al energiei termice facturate populaţiei.</w:t>
      </w:r>
    </w:p>
    <w:p w14:paraId="283DDBEC" w14:textId="0D68AE45" w:rsidR="0095239A" w:rsidRPr="0095239A" w:rsidRDefault="0095239A" w:rsidP="00754381">
      <w:pPr>
        <w:spacing w:after="120" w:line="240" w:lineRule="auto"/>
        <w:jc w:val="both"/>
        <w:rPr>
          <w:rFonts w:eastAsia="Times New Roman" w:cs="Times New Roman"/>
          <w:sz w:val="28"/>
          <w:szCs w:val="28"/>
        </w:rPr>
      </w:pPr>
      <w:r w:rsidRPr="0095239A">
        <w:rPr>
          <w:rFonts w:eastAsia="Times New Roman" w:cs="Times New Roman"/>
          <w:sz w:val="28"/>
          <w:szCs w:val="28"/>
          <w:lang w:val="it-IT"/>
        </w:rPr>
        <w:tab/>
      </w:r>
      <w:r w:rsidRPr="0095239A">
        <w:rPr>
          <w:rFonts w:eastAsia="Times New Roman" w:cs="Times New Roman"/>
          <w:sz w:val="28"/>
          <w:szCs w:val="28"/>
        </w:rPr>
        <w:t>Potrivit legii, în cazul în care autorităţile administraţiei publice locale nu cuprind în bugetul local sumele descrise mai sus sau nu efectuează plata acestor sume către furnizorii de energie termică potrivit programului aprobat prin buget, furnizorii de energie termică sesizează Ministerul</w:t>
      </w:r>
      <w:r w:rsidR="00C2188D">
        <w:rPr>
          <w:rFonts w:eastAsia="Times New Roman" w:cs="Times New Roman"/>
          <w:sz w:val="28"/>
          <w:szCs w:val="28"/>
        </w:rPr>
        <w:t xml:space="preserve"> </w:t>
      </w:r>
      <w:r w:rsidRPr="0095239A">
        <w:rPr>
          <w:rFonts w:eastAsia="Times New Roman" w:cs="Times New Roman"/>
          <w:sz w:val="28"/>
          <w:szCs w:val="28"/>
        </w:rPr>
        <w:t>Dezvoltării</w:t>
      </w:r>
      <w:r w:rsidR="00C2188D">
        <w:rPr>
          <w:rFonts w:eastAsia="Times New Roman" w:cs="Times New Roman"/>
          <w:sz w:val="28"/>
          <w:szCs w:val="28"/>
        </w:rPr>
        <w:t xml:space="preserve">, </w:t>
      </w:r>
      <w:r w:rsidR="00C2188D" w:rsidRPr="00C2188D">
        <w:rPr>
          <w:rFonts w:eastAsia="Times New Roman" w:cs="Times New Roman"/>
          <w:sz w:val="28"/>
          <w:szCs w:val="28"/>
        </w:rPr>
        <w:t>Lucrărilor Publice</w:t>
      </w:r>
      <w:r w:rsidRPr="0095239A">
        <w:rPr>
          <w:rFonts w:eastAsia="Times New Roman" w:cs="Times New Roman"/>
          <w:sz w:val="28"/>
          <w:szCs w:val="28"/>
        </w:rPr>
        <w:t xml:space="preserve"> și Administraţiei. În baza</w:t>
      </w:r>
      <w:r w:rsidR="00C2188D">
        <w:rPr>
          <w:rFonts w:eastAsia="Times New Roman" w:cs="Times New Roman"/>
          <w:sz w:val="28"/>
          <w:szCs w:val="28"/>
        </w:rPr>
        <w:t xml:space="preserve"> ordinului comun al ministrului </w:t>
      </w:r>
      <w:r w:rsidRPr="0095239A">
        <w:rPr>
          <w:rFonts w:eastAsia="Times New Roman" w:cs="Times New Roman"/>
          <w:sz w:val="28"/>
          <w:szCs w:val="28"/>
        </w:rPr>
        <w:t>dezvoltării</w:t>
      </w:r>
      <w:r w:rsidR="00C2188D">
        <w:rPr>
          <w:rFonts w:eastAsia="Times New Roman" w:cs="Times New Roman"/>
          <w:sz w:val="28"/>
          <w:szCs w:val="28"/>
        </w:rPr>
        <w:t xml:space="preserve">, </w:t>
      </w:r>
      <w:r w:rsidR="00C2188D" w:rsidRPr="00C2188D">
        <w:rPr>
          <w:rFonts w:eastAsia="Times New Roman" w:cs="Times New Roman"/>
          <w:sz w:val="28"/>
          <w:szCs w:val="28"/>
        </w:rPr>
        <w:t>lucrărilor publice</w:t>
      </w:r>
      <w:r w:rsidRPr="0095239A">
        <w:rPr>
          <w:rFonts w:eastAsia="Times New Roman" w:cs="Times New Roman"/>
          <w:sz w:val="28"/>
          <w:szCs w:val="28"/>
        </w:rPr>
        <w:t xml:space="preserve"> și administrației şi a</w:t>
      </w:r>
      <w:r w:rsidR="00C2188D">
        <w:rPr>
          <w:rFonts w:eastAsia="Times New Roman" w:cs="Times New Roman"/>
          <w:sz w:val="28"/>
          <w:szCs w:val="28"/>
        </w:rPr>
        <w:t>l ministrului finanţelor</w:t>
      </w:r>
      <w:r w:rsidRPr="0095239A">
        <w:rPr>
          <w:rFonts w:eastAsia="Times New Roman" w:cs="Times New Roman"/>
          <w:sz w:val="28"/>
          <w:szCs w:val="28"/>
        </w:rPr>
        <w:t>, direcţiile generale regionale ale finanţelor publice alocă bugetelor locale cotele defalcate din impozitul pe venit, cuvenite acestora potrivit legii, numai pentru plata obligaţiilor către furnizorii de energie termică, până la lichidarea obligaţiilor respective.</w:t>
      </w:r>
    </w:p>
    <w:p w14:paraId="682AA8AD" w14:textId="74777E8A" w:rsidR="0095239A" w:rsidRPr="00A66919" w:rsidRDefault="0095239A" w:rsidP="00754381">
      <w:pPr>
        <w:tabs>
          <w:tab w:val="left" w:pos="709"/>
        </w:tabs>
        <w:spacing w:after="120" w:line="240" w:lineRule="auto"/>
        <w:jc w:val="both"/>
        <w:rPr>
          <w:rFonts w:eastAsia="Times New Roman" w:cs="Times New Roman"/>
          <w:b/>
          <w:sz w:val="28"/>
          <w:szCs w:val="28"/>
          <w:u w:val="single"/>
          <w:lang w:val="en-US"/>
        </w:rPr>
      </w:pPr>
      <w:r w:rsidRPr="0095239A">
        <w:rPr>
          <w:rFonts w:eastAsia="Times New Roman" w:cs="Times New Roman"/>
          <w:sz w:val="28"/>
          <w:szCs w:val="28"/>
          <w:lang w:val="it-IT"/>
        </w:rPr>
        <w:tab/>
      </w:r>
      <w:r w:rsidRPr="00A66919">
        <w:rPr>
          <w:rFonts w:eastAsia="Times New Roman" w:cs="Times New Roman"/>
          <w:sz w:val="28"/>
          <w:szCs w:val="28"/>
        </w:rPr>
        <w:t xml:space="preserve">În fapt, </w:t>
      </w:r>
      <w:r w:rsidR="00A66919" w:rsidRPr="007F3A83">
        <w:rPr>
          <w:rFonts w:eastAsia="Times New Roman" w:cs="Times New Roman"/>
          <w:b/>
          <w:sz w:val="28"/>
          <w:szCs w:val="28"/>
          <w:u w:val="single"/>
        </w:rPr>
        <w:t>Compania Municipală Termoenergetica București</w:t>
      </w:r>
      <w:r w:rsidR="009D4023">
        <w:rPr>
          <w:rFonts w:eastAsia="Times New Roman" w:cs="Times New Roman"/>
          <w:sz w:val="28"/>
          <w:szCs w:val="28"/>
        </w:rPr>
        <w:t xml:space="preserve"> (CMTB)</w:t>
      </w:r>
      <w:r w:rsidR="00A66919">
        <w:rPr>
          <w:rFonts w:eastAsia="Times New Roman" w:cs="Times New Roman"/>
          <w:sz w:val="28"/>
          <w:szCs w:val="28"/>
        </w:rPr>
        <w:t xml:space="preserve">, </w:t>
      </w:r>
      <w:r w:rsidRPr="00A66919">
        <w:rPr>
          <w:rFonts w:eastAsia="Times New Roman" w:cs="Times New Roman"/>
          <w:sz w:val="28"/>
          <w:szCs w:val="28"/>
        </w:rPr>
        <w:t xml:space="preserve">operator furnizor de energie termică pentru Municipiul București, prin adresa nr. </w:t>
      </w:r>
      <w:r w:rsidR="00A66919" w:rsidRPr="00A66919">
        <w:rPr>
          <w:rFonts w:eastAsia="MS Mincho" w:cs="Cambria"/>
          <w:sz w:val="28"/>
          <w:szCs w:val="28"/>
        </w:rPr>
        <w:t>15.332/16.02.2022</w:t>
      </w:r>
      <w:r w:rsidR="00A66919">
        <w:rPr>
          <w:rFonts w:eastAsia="MS Mincho" w:cs="Cambria"/>
          <w:sz w:val="28"/>
          <w:szCs w:val="28"/>
        </w:rPr>
        <w:t xml:space="preserve"> </w:t>
      </w:r>
      <w:r w:rsidRPr="007F3A83">
        <w:rPr>
          <w:rFonts w:eastAsia="Times New Roman" w:cs="Times New Roman"/>
          <w:b/>
          <w:sz w:val="28"/>
          <w:szCs w:val="28"/>
          <w:u w:val="single"/>
        </w:rPr>
        <w:t xml:space="preserve">sesizează Ministerul </w:t>
      </w:r>
      <w:r w:rsidR="00A66919" w:rsidRPr="007F3A83">
        <w:rPr>
          <w:rFonts w:eastAsia="Times New Roman" w:cs="Times New Roman"/>
          <w:b/>
          <w:sz w:val="28"/>
          <w:szCs w:val="28"/>
          <w:u w:val="single"/>
        </w:rPr>
        <w:t xml:space="preserve">Dezvoltării, Lucrărilor Publice </w:t>
      </w:r>
      <w:r w:rsidRPr="007F3A83">
        <w:rPr>
          <w:rFonts w:eastAsia="Times New Roman" w:cs="Times New Roman"/>
          <w:b/>
          <w:sz w:val="28"/>
          <w:szCs w:val="28"/>
          <w:u w:val="single"/>
        </w:rPr>
        <w:t>și Administraţiei</w:t>
      </w:r>
      <w:r w:rsidR="009D4023">
        <w:rPr>
          <w:rFonts w:eastAsia="Times New Roman" w:cs="Times New Roman"/>
          <w:sz w:val="28"/>
          <w:szCs w:val="28"/>
        </w:rPr>
        <w:t xml:space="preserve"> (MDLPA)</w:t>
      </w:r>
      <w:r w:rsidRPr="00A66919">
        <w:rPr>
          <w:rFonts w:eastAsia="Times New Roman" w:cs="Times New Roman"/>
          <w:sz w:val="28"/>
          <w:szCs w:val="28"/>
        </w:rPr>
        <w:t xml:space="preserve"> asupra nerespectării obligaţiilor de plată aferente diferenţei de preţ energie termică, pe care le înr</w:t>
      </w:r>
      <w:r w:rsidR="00FB717A">
        <w:rPr>
          <w:rFonts w:eastAsia="Times New Roman" w:cs="Times New Roman"/>
          <w:sz w:val="28"/>
          <w:szCs w:val="28"/>
        </w:rPr>
        <w:t xml:space="preserve">egistrează Municipiul București, </w:t>
      </w:r>
      <w:r w:rsidR="009D4023">
        <w:rPr>
          <w:rFonts w:eastAsia="Times New Roman" w:cs="Times New Roman"/>
          <w:sz w:val="28"/>
          <w:szCs w:val="28"/>
        </w:rPr>
        <w:t xml:space="preserve">pentru care </w:t>
      </w:r>
      <w:r w:rsidR="00FB717A" w:rsidRPr="00A66919">
        <w:rPr>
          <w:rFonts w:eastAsia="Times New Roman" w:cs="Times New Roman"/>
          <w:sz w:val="28"/>
          <w:szCs w:val="28"/>
        </w:rPr>
        <w:t xml:space="preserve">sunt incidente dispozițiile alin. (5) al art. 3 din </w:t>
      </w:r>
      <w:r w:rsidR="00FB717A" w:rsidRPr="00A66919">
        <w:rPr>
          <w:rFonts w:eastAsia="Times New Roman" w:cs="Times New Roman"/>
          <w:sz w:val="28"/>
          <w:szCs w:val="28"/>
        </w:rPr>
        <w:lastRenderedPageBreak/>
        <w:t>Ordonanţa Guvernului nr. 36/2006 privind unele măsuri pentru funcţionarea sistemelor centralizate de alimentare cu energie termică a populaţiei</w:t>
      </w:r>
      <w:r w:rsidRPr="00A66919">
        <w:rPr>
          <w:rFonts w:eastAsia="Times New Roman" w:cs="Times New Roman"/>
          <w:sz w:val="28"/>
          <w:szCs w:val="28"/>
        </w:rPr>
        <w:t xml:space="preserve"> Astfel, rezultă că Municipiul București datora la acea dată </w:t>
      </w:r>
      <w:r w:rsidR="009D4023">
        <w:rPr>
          <w:rFonts w:eastAsia="Times New Roman" w:cs="Times New Roman"/>
          <w:sz w:val="28"/>
          <w:szCs w:val="28"/>
        </w:rPr>
        <w:t xml:space="preserve">CMTE </w:t>
      </w:r>
      <w:r w:rsidRPr="00A66919">
        <w:rPr>
          <w:rFonts w:eastAsia="Times New Roman" w:cs="Times New Roman"/>
          <w:sz w:val="28"/>
          <w:szCs w:val="28"/>
        </w:rPr>
        <w:t xml:space="preserve">suma </w:t>
      </w:r>
      <w:r w:rsidRPr="009D4023">
        <w:rPr>
          <w:rFonts w:eastAsia="Times New Roman" w:cs="Times New Roman"/>
          <w:sz w:val="28"/>
          <w:szCs w:val="28"/>
        </w:rPr>
        <w:t>de</w:t>
      </w:r>
      <w:r w:rsidR="009D4023" w:rsidRPr="009D4023">
        <w:rPr>
          <w:rFonts w:eastAsia="Times New Roman" w:cs="Times New Roman"/>
          <w:sz w:val="28"/>
          <w:szCs w:val="28"/>
        </w:rPr>
        <w:t xml:space="preserve"> </w:t>
      </w:r>
      <w:r w:rsidR="009D4023" w:rsidRPr="00A66919">
        <w:rPr>
          <w:rFonts w:eastAsia="MS Mincho" w:cs="Cambria"/>
          <w:b/>
          <w:sz w:val="28"/>
          <w:szCs w:val="28"/>
          <w:u w:val="single"/>
        </w:rPr>
        <w:t>232.872.241,62 lei</w:t>
      </w:r>
      <w:r w:rsidR="009D4023">
        <w:rPr>
          <w:rFonts w:eastAsia="Times New Roman" w:cs="Times New Roman"/>
          <w:b/>
          <w:sz w:val="28"/>
          <w:szCs w:val="28"/>
          <w:u w:val="single"/>
        </w:rPr>
        <w:t xml:space="preserve"> </w:t>
      </w:r>
      <w:r w:rsidRPr="00A66919">
        <w:rPr>
          <w:rFonts w:eastAsia="Times New Roman" w:cs="Times New Roman"/>
          <w:b/>
          <w:sz w:val="28"/>
          <w:szCs w:val="28"/>
          <w:u w:val="single"/>
        </w:rPr>
        <w:t>necesar</w:t>
      </w:r>
      <w:r w:rsidR="009D4023">
        <w:rPr>
          <w:rFonts w:eastAsia="Times New Roman" w:cs="Times New Roman"/>
          <w:b/>
          <w:sz w:val="28"/>
          <w:szCs w:val="28"/>
          <w:u w:val="single"/>
        </w:rPr>
        <w:t>ă</w:t>
      </w:r>
      <w:r w:rsidRPr="00A66919">
        <w:rPr>
          <w:rFonts w:eastAsia="Times New Roman" w:cs="Times New Roman"/>
          <w:b/>
          <w:sz w:val="28"/>
          <w:szCs w:val="28"/>
          <w:u w:val="single"/>
        </w:rPr>
        <w:t xml:space="preserve"> acoperirii </w:t>
      </w:r>
      <w:proofErr w:type="spellStart"/>
      <w:r w:rsidRPr="00A66919">
        <w:rPr>
          <w:rFonts w:eastAsia="Times New Roman" w:cs="Times New Roman"/>
          <w:b/>
          <w:sz w:val="28"/>
          <w:szCs w:val="28"/>
          <w:u w:val="single"/>
          <w:lang w:val="en-US"/>
        </w:rPr>
        <w:t>diferenței</w:t>
      </w:r>
      <w:proofErr w:type="spellEnd"/>
      <w:r w:rsidRPr="00A66919">
        <w:rPr>
          <w:rFonts w:eastAsia="Times New Roman" w:cs="Times New Roman"/>
          <w:b/>
          <w:sz w:val="28"/>
          <w:szCs w:val="28"/>
          <w:u w:val="single"/>
          <w:lang w:val="en-US"/>
        </w:rPr>
        <w:t xml:space="preserve"> </w:t>
      </w:r>
      <w:proofErr w:type="spellStart"/>
      <w:r w:rsidRPr="00A66919">
        <w:rPr>
          <w:rFonts w:eastAsia="Times New Roman" w:cs="Times New Roman"/>
          <w:b/>
          <w:sz w:val="28"/>
          <w:szCs w:val="28"/>
          <w:u w:val="single"/>
          <w:lang w:val="en-US"/>
        </w:rPr>
        <w:t>dintre</w:t>
      </w:r>
      <w:proofErr w:type="spellEnd"/>
      <w:r w:rsidRPr="00A66919">
        <w:rPr>
          <w:rFonts w:eastAsia="Times New Roman" w:cs="Times New Roman"/>
          <w:b/>
          <w:sz w:val="28"/>
          <w:szCs w:val="28"/>
          <w:u w:val="single"/>
          <w:lang w:val="en-US"/>
        </w:rPr>
        <w:t xml:space="preserve"> </w:t>
      </w:r>
      <w:proofErr w:type="spellStart"/>
      <w:r w:rsidRPr="00A66919">
        <w:rPr>
          <w:rFonts w:eastAsia="Times New Roman" w:cs="Times New Roman"/>
          <w:b/>
          <w:sz w:val="28"/>
          <w:szCs w:val="28"/>
          <w:u w:val="single"/>
          <w:lang w:val="en-US"/>
        </w:rPr>
        <w:t>preţul</w:t>
      </w:r>
      <w:proofErr w:type="spellEnd"/>
      <w:r w:rsidRPr="00A66919">
        <w:rPr>
          <w:rFonts w:eastAsia="Times New Roman" w:cs="Times New Roman"/>
          <w:b/>
          <w:sz w:val="28"/>
          <w:szCs w:val="28"/>
          <w:u w:val="single"/>
          <w:lang w:val="en-US"/>
        </w:rPr>
        <w:t xml:space="preserve"> de </w:t>
      </w:r>
      <w:proofErr w:type="spellStart"/>
      <w:r w:rsidRPr="00A66919">
        <w:rPr>
          <w:rFonts w:eastAsia="Times New Roman" w:cs="Times New Roman"/>
          <w:b/>
          <w:sz w:val="28"/>
          <w:szCs w:val="28"/>
          <w:u w:val="single"/>
          <w:lang w:val="en-US"/>
        </w:rPr>
        <w:t>producere</w:t>
      </w:r>
      <w:proofErr w:type="spellEnd"/>
      <w:r w:rsidRPr="00A66919">
        <w:rPr>
          <w:rFonts w:eastAsia="Times New Roman" w:cs="Times New Roman"/>
          <w:b/>
          <w:sz w:val="28"/>
          <w:szCs w:val="28"/>
          <w:u w:val="single"/>
          <w:lang w:val="en-US"/>
        </w:rPr>
        <w:t xml:space="preserve">, transport, </w:t>
      </w:r>
      <w:proofErr w:type="spellStart"/>
      <w:r w:rsidRPr="00A66919">
        <w:rPr>
          <w:rFonts w:eastAsia="Times New Roman" w:cs="Times New Roman"/>
          <w:b/>
          <w:sz w:val="28"/>
          <w:szCs w:val="28"/>
          <w:u w:val="single"/>
          <w:lang w:val="en-US"/>
        </w:rPr>
        <w:t>distribuţie</w:t>
      </w:r>
      <w:proofErr w:type="spellEnd"/>
      <w:r w:rsidRPr="00A66919">
        <w:rPr>
          <w:rFonts w:eastAsia="Times New Roman" w:cs="Times New Roman"/>
          <w:b/>
          <w:sz w:val="28"/>
          <w:szCs w:val="28"/>
          <w:u w:val="single"/>
          <w:lang w:val="en-US"/>
        </w:rPr>
        <w:t xml:space="preserve"> </w:t>
      </w:r>
      <w:proofErr w:type="spellStart"/>
      <w:r w:rsidRPr="00A66919">
        <w:rPr>
          <w:rFonts w:eastAsia="Times New Roman" w:cs="Times New Roman"/>
          <w:b/>
          <w:sz w:val="28"/>
          <w:szCs w:val="28"/>
          <w:u w:val="single"/>
          <w:lang w:val="en-US"/>
        </w:rPr>
        <w:t>şi</w:t>
      </w:r>
      <w:proofErr w:type="spellEnd"/>
      <w:r w:rsidRPr="00A66919">
        <w:rPr>
          <w:rFonts w:eastAsia="Times New Roman" w:cs="Times New Roman"/>
          <w:b/>
          <w:sz w:val="28"/>
          <w:szCs w:val="28"/>
          <w:u w:val="single"/>
          <w:lang w:val="en-US"/>
        </w:rPr>
        <w:t xml:space="preserve"> </w:t>
      </w:r>
      <w:proofErr w:type="spellStart"/>
      <w:r w:rsidRPr="00A66919">
        <w:rPr>
          <w:rFonts w:eastAsia="Times New Roman" w:cs="Times New Roman"/>
          <w:b/>
          <w:sz w:val="28"/>
          <w:szCs w:val="28"/>
          <w:u w:val="single"/>
          <w:lang w:val="en-US"/>
        </w:rPr>
        <w:t>furnizare</w:t>
      </w:r>
      <w:proofErr w:type="spellEnd"/>
      <w:r w:rsidRPr="00A66919">
        <w:rPr>
          <w:rFonts w:eastAsia="Times New Roman" w:cs="Times New Roman"/>
          <w:b/>
          <w:sz w:val="28"/>
          <w:szCs w:val="28"/>
          <w:u w:val="single"/>
          <w:lang w:val="en-US"/>
        </w:rPr>
        <w:t xml:space="preserve"> a </w:t>
      </w:r>
      <w:proofErr w:type="spellStart"/>
      <w:r w:rsidRPr="00A66919">
        <w:rPr>
          <w:rFonts w:eastAsia="Times New Roman" w:cs="Times New Roman"/>
          <w:b/>
          <w:sz w:val="28"/>
          <w:szCs w:val="28"/>
          <w:u w:val="single"/>
          <w:lang w:val="en-US"/>
        </w:rPr>
        <w:t>energiei</w:t>
      </w:r>
      <w:proofErr w:type="spellEnd"/>
      <w:r w:rsidRPr="00A66919">
        <w:rPr>
          <w:rFonts w:eastAsia="Times New Roman" w:cs="Times New Roman"/>
          <w:b/>
          <w:sz w:val="28"/>
          <w:szCs w:val="28"/>
          <w:u w:val="single"/>
          <w:lang w:val="en-US"/>
        </w:rPr>
        <w:t xml:space="preserve"> </w:t>
      </w:r>
      <w:proofErr w:type="spellStart"/>
      <w:r w:rsidRPr="00A66919">
        <w:rPr>
          <w:rFonts w:eastAsia="Times New Roman" w:cs="Times New Roman"/>
          <w:b/>
          <w:sz w:val="28"/>
          <w:szCs w:val="28"/>
          <w:u w:val="single"/>
          <w:lang w:val="en-US"/>
        </w:rPr>
        <w:t>termice</w:t>
      </w:r>
      <w:proofErr w:type="spellEnd"/>
      <w:r w:rsidRPr="00A66919">
        <w:rPr>
          <w:rFonts w:eastAsia="Times New Roman" w:cs="Times New Roman"/>
          <w:b/>
          <w:sz w:val="28"/>
          <w:szCs w:val="28"/>
          <w:u w:val="single"/>
          <w:lang w:val="en-US"/>
        </w:rPr>
        <w:t xml:space="preserve"> </w:t>
      </w:r>
      <w:proofErr w:type="spellStart"/>
      <w:r w:rsidRPr="00A66919">
        <w:rPr>
          <w:rFonts w:eastAsia="Times New Roman" w:cs="Times New Roman"/>
          <w:b/>
          <w:sz w:val="28"/>
          <w:szCs w:val="28"/>
          <w:u w:val="single"/>
          <w:lang w:val="en-US"/>
        </w:rPr>
        <w:t>livrate</w:t>
      </w:r>
      <w:proofErr w:type="spellEnd"/>
      <w:r w:rsidRPr="00A66919">
        <w:rPr>
          <w:rFonts w:eastAsia="Times New Roman" w:cs="Times New Roman"/>
          <w:b/>
          <w:sz w:val="28"/>
          <w:szCs w:val="28"/>
          <w:u w:val="single"/>
          <w:lang w:val="en-US"/>
        </w:rPr>
        <w:t xml:space="preserve"> </w:t>
      </w:r>
      <w:proofErr w:type="spellStart"/>
      <w:r w:rsidRPr="00A66919">
        <w:rPr>
          <w:rFonts w:eastAsia="Times New Roman" w:cs="Times New Roman"/>
          <w:b/>
          <w:sz w:val="28"/>
          <w:szCs w:val="28"/>
          <w:u w:val="single"/>
          <w:lang w:val="en-US"/>
        </w:rPr>
        <w:t>populaţiei</w:t>
      </w:r>
      <w:proofErr w:type="spellEnd"/>
      <w:r w:rsidRPr="00A66919">
        <w:rPr>
          <w:rFonts w:eastAsia="Times New Roman" w:cs="Times New Roman"/>
          <w:b/>
          <w:sz w:val="28"/>
          <w:szCs w:val="28"/>
          <w:u w:val="single"/>
          <w:lang w:val="en-US"/>
        </w:rPr>
        <w:t xml:space="preserve"> </w:t>
      </w:r>
      <w:proofErr w:type="spellStart"/>
      <w:r w:rsidRPr="00A66919">
        <w:rPr>
          <w:rFonts w:eastAsia="Times New Roman" w:cs="Times New Roman"/>
          <w:b/>
          <w:sz w:val="28"/>
          <w:szCs w:val="28"/>
          <w:u w:val="single"/>
          <w:lang w:val="en-US"/>
        </w:rPr>
        <w:t>şi</w:t>
      </w:r>
      <w:proofErr w:type="spellEnd"/>
      <w:r w:rsidRPr="00A66919">
        <w:rPr>
          <w:rFonts w:eastAsia="Times New Roman" w:cs="Times New Roman"/>
          <w:b/>
          <w:sz w:val="28"/>
          <w:szCs w:val="28"/>
          <w:u w:val="single"/>
          <w:lang w:val="en-US"/>
        </w:rPr>
        <w:t xml:space="preserve"> </w:t>
      </w:r>
      <w:proofErr w:type="spellStart"/>
      <w:r w:rsidRPr="00A66919">
        <w:rPr>
          <w:rFonts w:eastAsia="Times New Roman" w:cs="Times New Roman"/>
          <w:b/>
          <w:sz w:val="28"/>
          <w:szCs w:val="28"/>
          <w:u w:val="single"/>
          <w:lang w:val="en-US"/>
        </w:rPr>
        <w:t>preţul</w:t>
      </w:r>
      <w:proofErr w:type="spellEnd"/>
      <w:r w:rsidRPr="00A66919">
        <w:rPr>
          <w:rFonts w:eastAsia="Times New Roman" w:cs="Times New Roman"/>
          <w:b/>
          <w:sz w:val="28"/>
          <w:szCs w:val="28"/>
          <w:u w:val="single"/>
          <w:lang w:val="en-US"/>
        </w:rPr>
        <w:t xml:space="preserve"> local al </w:t>
      </w:r>
      <w:proofErr w:type="spellStart"/>
      <w:r w:rsidRPr="00A66919">
        <w:rPr>
          <w:rFonts w:eastAsia="Times New Roman" w:cs="Times New Roman"/>
          <w:b/>
          <w:sz w:val="28"/>
          <w:szCs w:val="28"/>
          <w:u w:val="single"/>
          <w:lang w:val="en-US"/>
        </w:rPr>
        <w:t>energiei</w:t>
      </w:r>
      <w:proofErr w:type="spellEnd"/>
      <w:r w:rsidRPr="00A66919">
        <w:rPr>
          <w:rFonts w:eastAsia="Times New Roman" w:cs="Times New Roman"/>
          <w:b/>
          <w:sz w:val="28"/>
          <w:szCs w:val="28"/>
          <w:u w:val="single"/>
          <w:lang w:val="en-US"/>
        </w:rPr>
        <w:t xml:space="preserve"> </w:t>
      </w:r>
      <w:proofErr w:type="spellStart"/>
      <w:r w:rsidRPr="00A66919">
        <w:rPr>
          <w:rFonts w:eastAsia="Times New Roman" w:cs="Times New Roman"/>
          <w:b/>
          <w:sz w:val="28"/>
          <w:szCs w:val="28"/>
          <w:u w:val="single"/>
          <w:lang w:val="en-US"/>
        </w:rPr>
        <w:t>termice</w:t>
      </w:r>
      <w:proofErr w:type="spellEnd"/>
      <w:r w:rsidRPr="00A66919">
        <w:rPr>
          <w:rFonts w:eastAsia="Times New Roman" w:cs="Times New Roman"/>
          <w:b/>
          <w:sz w:val="28"/>
          <w:szCs w:val="28"/>
          <w:u w:val="single"/>
          <w:lang w:val="en-US"/>
        </w:rPr>
        <w:t xml:space="preserve"> </w:t>
      </w:r>
      <w:proofErr w:type="spellStart"/>
      <w:r w:rsidRPr="00A66919">
        <w:rPr>
          <w:rFonts w:eastAsia="Times New Roman" w:cs="Times New Roman"/>
          <w:b/>
          <w:sz w:val="28"/>
          <w:szCs w:val="28"/>
          <w:u w:val="single"/>
          <w:lang w:val="en-US"/>
        </w:rPr>
        <w:t>facturate</w:t>
      </w:r>
      <w:proofErr w:type="spellEnd"/>
      <w:r w:rsidRPr="00A66919">
        <w:rPr>
          <w:rFonts w:eastAsia="Times New Roman" w:cs="Times New Roman"/>
          <w:b/>
          <w:sz w:val="28"/>
          <w:szCs w:val="28"/>
          <w:u w:val="single"/>
          <w:lang w:val="en-US"/>
        </w:rPr>
        <w:t xml:space="preserve"> </w:t>
      </w:r>
      <w:proofErr w:type="spellStart"/>
      <w:r w:rsidRPr="00A66919">
        <w:rPr>
          <w:rFonts w:eastAsia="Times New Roman" w:cs="Times New Roman"/>
          <w:b/>
          <w:sz w:val="28"/>
          <w:szCs w:val="28"/>
          <w:u w:val="single"/>
          <w:lang w:val="en-US"/>
        </w:rPr>
        <w:t>populaţiei</w:t>
      </w:r>
      <w:proofErr w:type="spellEnd"/>
      <w:r w:rsidRPr="00A66919">
        <w:rPr>
          <w:rFonts w:eastAsia="Times New Roman" w:cs="Times New Roman"/>
          <w:b/>
          <w:sz w:val="28"/>
          <w:szCs w:val="28"/>
          <w:u w:val="single"/>
          <w:lang w:val="en-US"/>
        </w:rPr>
        <w:t xml:space="preserve"> </w:t>
      </w:r>
      <w:proofErr w:type="spellStart"/>
      <w:r w:rsidRPr="00A66919">
        <w:rPr>
          <w:rFonts w:eastAsia="Times New Roman" w:cs="Times New Roman"/>
          <w:b/>
          <w:sz w:val="28"/>
          <w:szCs w:val="28"/>
          <w:u w:val="single"/>
          <w:lang w:val="en-US"/>
        </w:rPr>
        <w:t>pentru</w:t>
      </w:r>
      <w:proofErr w:type="spellEnd"/>
      <w:r w:rsidRPr="00A66919">
        <w:rPr>
          <w:rFonts w:eastAsia="Times New Roman" w:cs="Times New Roman"/>
          <w:b/>
          <w:sz w:val="28"/>
          <w:szCs w:val="28"/>
          <w:u w:val="single"/>
          <w:lang w:val="en-US"/>
        </w:rPr>
        <w:t xml:space="preserve"> </w:t>
      </w:r>
      <w:proofErr w:type="spellStart"/>
      <w:r w:rsidRPr="00A66919">
        <w:rPr>
          <w:rFonts w:eastAsia="Times New Roman" w:cs="Times New Roman"/>
          <w:b/>
          <w:sz w:val="28"/>
          <w:szCs w:val="28"/>
          <w:u w:val="single"/>
          <w:lang w:val="en-US"/>
        </w:rPr>
        <w:t>consumul</w:t>
      </w:r>
      <w:proofErr w:type="spellEnd"/>
      <w:r w:rsidRPr="00A66919">
        <w:rPr>
          <w:rFonts w:eastAsia="Times New Roman" w:cs="Times New Roman"/>
          <w:b/>
          <w:sz w:val="28"/>
          <w:szCs w:val="28"/>
          <w:u w:val="single"/>
          <w:lang w:val="en-US"/>
        </w:rPr>
        <w:t xml:space="preserve"> de </w:t>
      </w:r>
      <w:proofErr w:type="spellStart"/>
      <w:r w:rsidRPr="00A66919">
        <w:rPr>
          <w:rFonts w:eastAsia="Times New Roman" w:cs="Times New Roman"/>
          <w:b/>
          <w:sz w:val="28"/>
          <w:szCs w:val="28"/>
          <w:u w:val="single"/>
          <w:lang w:val="en-US"/>
        </w:rPr>
        <w:t>energie</w:t>
      </w:r>
      <w:proofErr w:type="spellEnd"/>
      <w:r w:rsidRPr="00A66919">
        <w:rPr>
          <w:rFonts w:eastAsia="Times New Roman" w:cs="Times New Roman"/>
          <w:b/>
          <w:sz w:val="28"/>
          <w:szCs w:val="28"/>
          <w:u w:val="single"/>
          <w:lang w:val="en-US"/>
        </w:rPr>
        <w:t xml:space="preserve"> </w:t>
      </w:r>
      <w:proofErr w:type="spellStart"/>
      <w:r w:rsidRPr="00A66919">
        <w:rPr>
          <w:rFonts w:eastAsia="Times New Roman" w:cs="Times New Roman"/>
          <w:b/>
          <w:sz w:val="28"/>
          <w:szCs w:val="28"/>
          <w:u w:val="single"/>
          <w:lang w:val="en-US"/>
        </w:rPr>
        <w:t>termi</w:t>
      </w:r>
      <w:r w:rsidR="009D4023">
        <w:rPr>
          <w:rFonts w:eastAsia="Times New Roman" w:cs="Times New Roman"/>
          <w:b/>
          <w:sz w:val="28"/>
          <w:szCs w:val="28"/>
          <w:u w:val="single"/>
          <w:lang w:val="en-US"/>
        </w:rPr>
        <w:t>că</w:t>
      </w:r>
      <w:proofErr w:type="spellEnd"/>
      <w:r w:rsidR="009D4023">
        <w:rPr>
          <w:rFonts w:eastAsia="Times New Roman" w:cs="Times New Roman"/>
          <w:b/>
          <w:sz w:val="28"/>
          <w:szCs w:val="28"/>
          <w:u w:val="single"/>
          <w:lang w:val="en-US"/>
        </w:rPr>
        <w:t xml:space="preserve"> </w:t>
      </w:r>
      <w:proofErr w:type="spellStart"/>
      <w:r w:rsidR="009D4023">
        <w:rPr>
          <w:rFonts w:eastAsia="Times New Roman" w:cs="Times New Roman"/>
          <w:b/>
          <w:sz w:val="28"/>
          <w:szCs w:val="28"/>
          <w:u w:val="single"/>
          <w:lang w:val="en-US"/>
        </w:rPr>
        <w:t>înregistrat</w:t>
      </w:r>
      <w:proofErr w:type="spellEnd"/>
      <w:r w:rsidR="009D4023">
        <w:rPr>
          <w:rFonts w:eastAsia="Times New Roman" w:cs="Times New Roman"/>
          <w:b/>
          <w:sz w:val="28"/>
          <w:szCs w:val="28"/>
          <w:u w:val="single"/>
          <w:lang w:val="en-US"/>
        </w:rPr>
        <w:t xml:space="preserve"> </w:t>
      </w:r>
      <w:proofErr w:type="spellStart"/>
      <w:r w:rsidR="009D4023">
        <w:rPr>
          <w:rFonts w:eastAsia="Times New Roman" w:cs="Times New Roman"/>
          <w:b/>
          <w:sz w:val="28"/>
          <w:szCs w:val="28"/>
          <w:u w:val="single"/>
          <w:lang w:val="en-US"/>
        </w:rPr>
        <w:t>în</w:t>
      </w:r>
      <w:proofErr w:type="spellEnd"/>
      <w:r w:rsidR="009D4023">
        <w:rPr>
          <w:rFonts w:eastAsia="Times New Roman" w:cs="Times New Roman"/>
          <w:b/>
          <w:sz w:val="28"/>
          <w:szCs w:val="28"/>
          <w:u w:val="single"/>
          <w:lang w:val="en-US"/>
        </w:rPr>
        <w:t xml:space="preserve"> </w:t>
      </w:r>
      <w:proofErr w:type="spellStart"/>
      <w:r w:rsidR="009D4023">
        <w:rPr>
          <w:rFonts w:eastAsia="Times New Roman" w:cs="Times New Roman"/>
          <w:b/>
          <w:sz w:val="28"/>
          <w:szCs w:val="28"/>
          <w:u w:val="single"/>
          <w:lang w:val="en-US"/>
        </w:rPr>
        <w:t>luna</w:t>
      </w:r>
      <w:proofErr w:type="spellEnd"/>
      <w:r w:rsidR="009D4023">
        <w:rPr>
          <w:rFonts w:eastAsia="Times New Roman" w:cs="Times New Roman"/>
          <w:b/>
          <w:sz w:val="28"/>
          <w:szCs w:val="28"/>
          <w:u w:val="single"/>
          <w:lang w:val="en-US"/>
        </w:rPr>
        <w:t xml:space="preserve"> </w:t>
      </w:r>
      <w:proofErr w:type="spellStart"/>
      <w:r w:rsidR="009D4023">
        <w:rPr>
          <w:rFonts w:eastAsia="Times New Roman" w:cs="Times New Roman"/>
          <w:b/>
          <w:sz w:val="28"/>
          <w:szCs w:val="28"/>
          <w:u w:val="single"/>
          <w:lang w:val="en-US"/>
        </w:rPr>
        <w:t>decembrie</w:t>
      </w:r>
      <w:proofErr w:type="spellEnd"/>
      <w:r w:rsidR="009D4023">
        <w:rPr>
          <w:rFonts w:eastAsia="Times New Roman" w:cs="Times New Roman"/>
          <w:b/>
          <w:sz w:val="28"/>
          <w:szCs w:val="28"/>
          <w:u w:val="single"/>
          <w:lang w:val="en-US"/>
        </w:rPr>
        <w:t xml:space="preserve"> 2021</w:t>
      </w:r>
      <w:r w:rsidRPr="00A66919">
        <w:rPr>
          <w:rFonts w:eastAsia="Times New Roman" w:cs="Times New Roman"/>
          <w:b/>
          <w:sz w:val="28"/>
          <w:szCs w:val="28"/>
          <w:u w:val="single"/>
          <w:lang w:val="en-US"/>
        </w:rPr>
        <w:t>.</w:t>
      </w:r>
    </w:p>
    <w:p w14:paraId="5AF2F2EA" w14:textId="75EEBA5B" w:rsidR="0095239A" w:rsidRPr="003A45C4" w:rsidRDefault="0095239A" w:rsidP="00754381">
      <w:pPr>
        <w:tabs>
          <w:tab w:val="left" w:pos="709"/>
        </w:tabs>
        <w:spacing w:after="120" w:line="240" w:lineRule="auto"/>
        <w:jc w:val="both"/>
        <w:rPr>
          <w:rFonts w:eastAsia="Times New Roman" w:cs="Times New Roman"/>
          <w:sz w:val="28"/>
          <w:szCs w:val="28"/>
        </w:rPr>
      </w:pPr>
      <w:r w:rsidRPr="003A45C4">
        <w:rPr>
          <w:rFonts w:eastAsia="Times New Roman" w:cs="Times New Roman"/>
          <w:sz w:val="28"/>
          <w:szCs w:val="28"/>
        </w:rPr>
        <w:t xml:space="preserve">         Ţinând cont de impactul negativ – în opinia noastră – al emiterii unui ordin comun de restricţionare a utilizării cotelor defalcate din impozitul pe venit cuvenite bugetului local al Municipiului București, care poate perturba continuarea proiectelor de dezvoltare locală, prin adresa nr. </w:t>
      </w:r>
      <w:r w:rsidR="00952512" w:rsidRPr="00A66919">
        <w:rPr>
          <w:rFonts w:eastAsia="MS Mincho" w:cs="Cambria"/>
          <w:sz w:val="28"/>
          <w:szCs w:val="28"/>
        </w:rPr>
        <w:t>24714/1085/11.03.2022</w:t>
      </w:r>
      <w:r w:rsidR="00952512" w:rsidRPr="003A45C4">
        <w:rPr>
          <w:rFonts w:eastAsia="Times New Roman" w:cs="Times New Roman"/>
          <w:sz w:val="28"/>
          <w:szCs w:val="28"/>
        </w:rPr>
        <w:t>, MDLPA</w:t>
      </w:r>
      <w:r w:rsidRPr="003A45C4">
        <w:rPr>
          <w:rFonts w:eastAsia="Times New Roman" w:cs="Times New Roman"/>
          <w:sz w:val="28"/>
          <w:szCs w:val="28"/>
        </w:rPr>
        <w:t xml:space="preserve"> a solicitat Primăriei Municipiului București</w:t>
      </w:r>
      <w:r w:rsidR="003A45C4" w:rsidRPr="003A45C4">
        <w:rPr>
          <w:rFonts w:eastAsia="Times New Roman" w:cs="Times New Roman"/>
          <w:sz w:val="28"/>
          <w:szCs w:val="28"/>
        </w:rPr>
        <w:t xml:space="preserve"> (PMB)</w:t>
      </w:r>
      <w:r w:rsidRPr="003A45C4">
        <w:rPr>
          <w:rFonts w:eastAsia="Times New Roman" w:cs="Times New Roman"/>
          <w:sz w:val="28"/>
          <w:szCs w:val="28"/>
        </w:rPr>
        <w:t xml:space="preserve"> să comunice sumele datorate </w:t>
      </w:r>
      <w:r w:rsidR="003A45C4" w:rsidRPr="003A45C4">
        <w:rPr>
          <w:rFonts w:eastAsia="Times New Roman" w:cs="Times New Roman"/>
          <w:sz w:val="28"/>
          <w:szCs w:val="28"/>
        </w:rPr>
        <w:t xml:space="preserve">CMTB </w:t>
      </w:r>
      <w:r w:rsidRPr="003A45C4">
        <w:rPr>
          <w:rFonts w:eastAsia="Times New Roman" w:cs="Times New Roman"/>
          <w:sz w:val="28"/>
          <w:szCs w:val="28"/>
        </w:rPr>
        <w:t xml:space="preserve"> necesar</w:t>
      </w:r>
      <w:r w:rsidR="003A45C4" w:rsidRPr="003A45C4">
        <w:rPr>
          <w:rFonts w:eastAsia="Times New Roman" w:cs="Times New Roman"/>
          <w:sz w:val="28"/>
          <w:szCs w:val="28"/>
        </w:rPr>
        <w:t>e</w:t>
      </w:r>
      <w:r w:rsidRPr="003A45C4">
        <w:rPr>
          <w:rFonts w:eastAsia="Times New Roman" w:cs="Times New Roman"/>
          <w:sz w:val="28"/>
          <w:szCs w:val="28"/>
        </w:rPr>
        <w:t xml:space="preserve"> acoperirii diferenței de preț energie termică aferentă cantităților de energie livrate p</w:t>
      </w:r>
      <w:r w:rsidR="003A45C4" w:rsidRPr="003A45C4">
        <w:rPr>
          <w:rFonts w:eastAsia="Times New Roman" w:cs="Times New Roman"/>
          <w:sz w:val="28"/>
          <w:szCs w:val="28"/>
        </w:rPr>
        <w:t>opulației în luna decembrie 2021</w:t>
      </w:r>
      <w:r w:rsidRPr="003A45C4">
        <w:rPr>
          <w:rFonts w:eastAsia="Times New Roman" w:cs="Times New Roman"/>
          <w:sz w:val="28"/>
          <w:szCs w:val="28"/>
        </w:rPr>
        <w:t xml:space="preserve"> și perioada în care vor fi integral achitate.</w:t>
      </w:r>
    </w:p>
    <w:p w14:paraId="5414EF6E" w14:textId="7015BFB6" w:rsidR="0095239A" w:rsidRPr="00A90066" w:rsidRDefault="0095239A" w:rsidP="00754381">
      <w:pPr>
        <w:tabs>
          <w:tab w:val="left" w:pos="1560"/>
          <w:tab w:val="left" w:pos="2552"/>
          <w:tab w:val="center" w:pos="4320"/>
          <w:tab w:val="left" w:pos="4965"/>
          <w:tab w:val="right" w:pos="8640"/>
          <w:tab w:val="right" w:pos="10773"/>
        </w:tabs>
        <w:spacing w:after="120" w:line="240" w:lineRule="auto"/>
        <w:ind w:firstLine="900"/>
        <w:jc w:val="both"/>
        <w:rPr>
          <w:rFonts w:eastAsia="Times New Roman" w:cs="Times New Roman"/>
          <w:bCs/>
          <w:sz w:val="28"/>
          <w:szCs w:val="28"/>
        </w:rPr>
      </w:pPr>
      <w:r w:rsidRPr="007F3A83">
        <w:rPr>
          <w:rFonts w:eastAsia="Times New Roman" w:cs="Times New Roman"/>
          <w:bCs/>
          <w:sz w:val="28"/>
          <w:szCs w:val="28"/>
        </w:rPr>
        <w:t xml:space="preserve">Faţă de această solicitare, </w:t>
      </w:r>
      <w:r w:rsidRPr="007F3A83">
        <w:rPr>
          <w:rFonts w:eastAsia="Times New Roman" w:cs="Times New Roman"/>
          <w:b/>
          <w:bCs/>
          <w:sz w:val="28"/>
          <w:szCs w:val="28"/>
          <w:u w:val="single"/>
        </w:rPr>
        <w:t>Municipiul București</w:t>
      </w:r>
      <w:r w:rsidR="003A45C4" w:rsidRPr="007F3A83">
        <w:rPr>
          <w:rFonts w:eastAsia="Times New Roman" w:cs="Times New Roman"/>
          <w:bCs/>
          <w:sz w:val="28"/>
          <w:szCs w:val="28"/>
        </w:rPr>
        <w:t xml:space="preserve">, prin adresa nr. </w:t>
      </w:r>
      <w:r w:rsidR="003A45C4" w:rsidRPr="00A66919">
        <w:rPr>
          <w:rFonts w:eastAsia="MS Mincho" w:cs="Cambria"/>
          <w:sz w:val="28"/>
          <w:szCs w:val="28"/>
        </w:rPr>
        <w:t>199841/16.03.2022</w:t>
      </w:r>
      <w:r w:rsidR="003A45C4" w:rsidRPr="007F3A83">
        <w:rPr>
          <w:rFonts w:eastAsia="Times New Roman" w:cs="Times New Roman"/>
          <w:bCs/>
          <w:sz w:val="28"/>
          <w:szCs w:val="28"/>
        </w:rPr>
        <w:t xml:space="preserve">, </w:t>
      </w:r>
      <w:r w:rsidR="0043759D" w:rsidRPr="007F3A83">
        <w:rPr>
          <w:rFonts w:eastAsia="Times New Roman" w:cs="Times New Roman"/>
          <w:bCs/>
          <w:sz w:val="28"/>
          <w:szCs w:val="28"/>
        </w:rPr>
        <w:t>recunoaște</w:t>
      </w:r>
      <w:r w:rsidRPr="007F3A83">
        <w:rPr>
          <w:rFonts w:eastAsia="Times New Roman" w:cs="Times New Roman"/>
          <w:bCs/>
          <w:sz w:val="28"/>
          <w:szCs w:val="28"/>
        </w:rPr>
        <w:t xml:space="preserve"> că nu şi-a îndeplinit obligaţiile izvorâte din dispoziţiile Or</w:t>
      </w:r>
      <w:r w:rsidR="003A45C4" w:rsidRPr="007F3A83">
        <w:rPr>
          <w:rFonts w:eastAsia="Times New Roman" w:cs="Times New Roman"/>
          <w:bCs/>
          <w:sz w:val="28"/>
          <w:szCs w:val="28"/>
        </w:rPr>
        <w:t xml:space="preserve">donanţei Guvernului nr. 36/2006, </w:t>
      </w:r>
      <w:r w:rsidR="00B87D6E">
        <w:rPr>
          <w:rFonts w:eastAsia="Times New Roman" w:cs="Times New Roman"/>
          <w:bCs/>
          <w:sz w:val="28"/>
          <w:szCs w:val="28"/>
        </w:rPr>
        <w:t xml:space="preserve">și </w:t>
      </w:r>
      <w:r w:rsidR="003A45C4" w:rsidRPr="007F3A83">
        <w:rPr>
          <w:rFonts w:eastAsia="Times New Roman" w:cs="Times New Roman"/>
          <w:b/>
          <w:bCs/>
          <w:sz w:val="28"/>
          <w:szCs w:val="28"/>
          <w:u w:val="single"/>
        </w:rPr>
        <w:t xml:space="preserve">menționează că </w:t>
      </w:r>
      <w:r w:rsidR="007F3A83" w:rsidRPr="007F3A83">
        <w:rPr>
          <w:rFonts w:eastAsia="Times New Roman" w:cs="Times New Roman"/>
          <w:b/>
          <w:bCs/>
          <w:sz w:val="28"/>
          <w:szCs w:val="28"/>
          <w:u w:val="single"/>
        </w:rPr>
        <w:t xml:space="preserve">din suma datorată CMTB de </w:t>
      </w:r>
      <w:r w:rsidR="007F3A83" w:rsidRPr="00A66919">
        <w:rPr>
          <w:rFonts w:eastAsia="MS Mincho" w:cs="Cambria"/>
          <w:b/>
          <w:sz w:val="28"/>
          <w:szCs w:val="28"/>
          <w:u w:val="single"/>
        </w:rPr>
        <w:t xml:space="preserve">232.872.241,62 </w:t>
      </w:r>
      <w:r w:rsidR="007F3A83" w:rsidRPr="007F3A83">
        <w:rPr>
          <w:rFonts w:eastAsia="Times New Roman" w:cs="Times New Roman"/>
          <w:b/>
          <w:bCs/>
          <w:sz w:val="28"/>
          <w:szCs w:val="28"/>
          <w:u w:val="single"/>
        </w:rPr>
        <w:t xml:space="preserve"> lei </w:t>
      </w:r>
      <w:r w:rsidR="003A45C4" w:rsidRPr="007F3A83">
        <w:rPr>
          <w:rFonts w:eastAsia="Times New Roman" w:cs="Times New Roman"/>
          <w:b/>
          <w:bCs/>
          <w:sz w:val="28"/>
          <w:szCs w:val="28"/>
          <w:u w:val="single"/>
        </w:rPr>
        <w:t xml:space="preserve"> </w:t>
      </w:r>
      <w:r w:rsidR="003A45C4" w:rsidRPr="00A66919">
        <w:rPr>
          <w:rFonts w:eastAsia="MS Mincho" w:cs="Cambria"/>
          <w:b/>
          <w:sz w:val="28"/>
          <w:szCs w:val="28"/>
          <w:u w:val="single"/>
        </w:rPr>
        <w:t>a achitat suma de 116.437.000,02 lei</w:t>
      </w:r>
      <w:r w:rsidR="007F3A83" w:rsidRPr="007F3A83">
        <w:rPr>
          <w:rFonts w:eastAsia="MS Mincho" w:cs="Cambria"/>
          <w:b/>
          <w:sz w:val="28"/>
          <w:szCs w:val="28"/>
          <w:u w:val="single"/>
        </w:rPr>
        <w:t>, diferența urmând a fi achitată</w:t>
      </w:r>
      <w:r w:rsidR="003A45C4" w:rsidRPr="00A66919">
        <w:rPr>
          <w:rFonts w:eastAsia="MS Mincho" w:cs="Cambria"/>
          <w:b/>
          <w:sz w:val="28"/>
          <w:szCs w:val="28"/>
          <w:u w:val="single"/>
        </w:rPr>
        <w:t xml:space="preserve"> până la 15 aprilie 2022.</w:t>
      </w:r>
      <w:r w:rsidRPr="007F3A83">
        <w:rPr>
          <w:rFonts w:eastAsia="Times New Roman" w:cs="Times New Roman"/>
          <w:bCs/>
          <w:sz w:val="28"/>
          <w:szCs w:val="28"/>
        </w:rPr>
        <w:t xml:space="preserve"> </w:t>
      </w:r>
    </w:p>
    <w:p w14:paraId="52B58772" w14:textId="2CB5740F" w:rsidR="00A66919" w:rsidRPr="00A66919" w:rsidRDefault="00B87D6E" w:rsidP="00754381">
      <w:pPr>
        <w:tabs>
          <w:tab w:val="left" w:pos="0"/>
          <w:tab w:val="left" w:pos="810"/>
          <w:tab w:val="left" w:pos="2552"/>
          <w:tab w:val="center" w:pos="4320"/>
          <w:tab w:val="left" w:pos="4965"/>
          <w:tab w:val="right" w:pos="8640"/>
          <w:tab w:val="right" w:pos="10773"/>
        </w:tabs>
        <w:spacing w:after="120" w:line="240" w:lineRule="auto"/>
        <w:jc w:val="both"/>
        <w:rPr>
          <w:rFonts w:eastAsia="MS Mincho" w:cs="Cambria"/>
          <w:bCs/>
          <w:sz w:val="28"/>
          <w:szCs w:val="28"/>
        </w:rPr>
      </w:pPr>
      <w:r w:rsidRPr="00A90066">
        <w:rPr>
          <w:rFonts w:eastAsia="MS Mincho" w:cs="Cambria"/>
          <w:sz w:val="28"/>
          <w:szCs w:val="28"/>
        </w:rPr>
        <w:tab/>
        <w:t xml:space="preserve">Totodată, CMTB prin </w:t>
      </w:r>
      <w:r w:rsidR="00A66919" w:rsidRPr="00A90066">
        <w:rPr>
          <w:rFonts w:eastAsia="MS Mincho" w:cs="Cambria"/>
          <w:sz w:val="28"/>
          <w:szCs w:val="28"/>
        </w:rPr>
        <w:t xml:space="preserve">adresa nr. 22.837/14.03.2022 invocă faptul că </w:t>
      </w:r>
      <w:r w:rsidR="00A66919" w:rsidRPr="00A90066">
        <w:rPr>
          <w:rFonts w:eastAsia="MS Mincho" w:cs="Cambria"/>
          <w:iCs/>
          <w:sz w:val="28"/>
          <w:szCs w:val="28"/>
        </w:rPr>
        <w:t>în</w:t>
      </w:r>
      <w:r w:rsidR="00A66919" w:rsidRPr="00A90066">
        <w:rPr>
          <w:rFonts w:eastAsia="MS Mincho" w:cs="Cambria"/>
          <w:i/>
          <w:iCs/>
          <w:sz w:val="28"/>
          <w:szCs w:val="28"/>
        </w:rPr>
        <w:t xml:space="preserve"> Hotărârea Consiliului General al Municipiului București nr. 151/07.03.2022 privind aprobarea bugetului Municipiului București pe anul 2022</w:t>
      </w:r>
      <w:r w:rsidR="00A66919" w:rsidRPr="00A90066">
        <w:rPr>
          <w:rFonts w:eastAsia="MS Mincho" w:cs="Cambria"/>
          <w:sz w:val="28"/>
          <w:szCs w:val="28"/>
        </w:rPr>
        <w:t xml:space="preserve">, la capitolul </w:t>
      </w:r>
      <w:r w:rsidR="00A66919" w:rsidRPr="00A90066">
        <w:rPr>
          <w:rFonts w:eastAsia="MS Mincho" w:cs="Cambria"/>
          <w:i/>
          <w:iCs/>
          <w:sz w:val="28"/>
          <w:szCs w:val="28"/>
        </w:rPr>
        <w:t>Energie termică, Subvenții pentru acoperirea diferenței de preț și tarif</w:t>
      </w:r>
      <w:r w:rsidR="00A66919" w:rsidRPr="00A90066">
        <w:rPr>
          <w:rFonts w:eastAsia="MS Mincho" w:cs="Cambria"/>
          <w:sz w:val="28"/>
          <w:szCs w:val="28"/>
        </w:rPr>
        <w:t xml:space="preserve"> </w:t>
      </w:r>
      <w:r w:rsidR="00A66919" w:rsidRPr="00A90066">
        <w:rPr>
          <w:rFonts w:eastAsia="MS Mincho" w:cs="Cambria"/>
          <w:b/>
          <w:bCs/>
          <w:sz w:val="28"/>
          <w:szCs w:val="28"/>
          <w:u w:val="single"/>
        </w:rPr>
        <w:t>a fost bugetată suma de 987.882,00 mii lei, sub necesarul de 2.112.638,00 lei</w:t>
      </w:r>
      <w:r w:rsidR="00A66919" w:rsidRPr="00A90066">
        <w:rPr>
          <w:rFonts w:eastAsia="MS Mincho" w:cs="Cambria"/>
          <w:b/>
          <w:bCs/>
          <w:sz w:val="28"/>
          <w:szCs w:val="28"/>
        </w:rPr>
        <w:t xml:space="preserve"> </w:t>
      </w:r>
      <w:r w:rsidR="00A66919" w:rsidRPr="00A90066">
        <w:rPr>
          <w:rFonts w:eastAsia="MS Mincho" w:cs="Cambria"/>
          <w:bCs/>
          <w:sz w:val="28"/>
          <w:szCs w:val="28"/>
        </w:rPr>
        <w:t>și</w:t>
      </w:r>
      <w:r w:rsidR="00A66919" w:rsidRPr="00A90066">
        <w:rPr>
          <w:rFonts w:eastAsia="MS Mincho" w:cs="Cambria"/>
          <w:b/>
          <w:bCs/>
          <w:sz w:val="28"/>
          <w:szCs w:val="28"/>
        </w:rPr>
        <w:t xml:space="preserve"> </w:t>
      </w:r>
      <w:r w:rsidR="00A66919" w:rsidRPr="00A90066">
        <w:rPr>
          <w:rFonts w:eastAsia="MS Mincho" w:cs="Cambria"/>
          <w:bCs/>
          <w:sz w:val="28"/>
          <w:szCs w:val="28"/>
        </w:rPr>
        <w:t>solicită aplicarea</w:t>
      </w:r>
      <w:r w:rsidR="00A66919" w:rsidRPr="00A90066">
        <w:rPr>
          <w:rFonts w:eastAsia="MS Mincho" w:cs="Cambria"/>
          <w:sz w:val="28"/>
          <w:szCs w:val="28"/>
        </w:rPr>
        <w:t xml:space="preserve"> </w:t>
      </w:r>
      <w:r w:rsidR="00A66919" w:rsidRPr="00A90066">
        <w:rPr>
          <w:rFonts w:eastAsia="MS Mincho" w:cs="Cambria"/>
          <w:bCs/>
          <w:sz w:val="28"/>
          <w:szCs w:val="28"/>
        </w:rPr>
        <w:t>prevederilor art. 3 alin. (5) din Ordonanța Guvernului nr.36/2006</w:t>
      </w:r>
      <w:r w:rsidR="00145C3D">
        <w:rPr>
          <w:rFonts w:eastAsia="MS Mincho" w:cs="Cambria"/>
          <w:bCs/>
          <w:sz w:val="28"/>
          <w:szCs w:val="28"/>
        </w:rPr>
        <w:t>.</w:t>
      </w:r>
    </w:p>
    <w:p w14:paraId="0740D095" w14:textId="51CC30D5" w:rsidR="00A66919" w:rsidRDefault="00145C3D" w:rsidP="00754381">
      <w:pPr>
        <w:tabs>
          <w:tab w:val="left" w:pos="0"/>
          <w:tab w:val="left" w:pos="900"/>
          <w:tab w:val="center" w:pos="4320"/>
          <w:tab w:val="left" w:pos="4965"/>
          <w:tab w:val="right" w:pos="8640"/>
          <w:tab w:val="right" w:pos="10773"/>
        </w:tabs>
        <w:spacing w:after="120" w:line="240" w:lineRule="auto"/>
        <w:jc w:val="both"/>
        <w:rPr>
          <w:rFonts w:eastAsia="MS Mincho" w:cs="Cambria"/>
          <w:i/>
          <w:sz w:val="28"/>
          <w:szCs w:val="28"/>
        </w:rPr>
      </w:pPr>
      <w:r>
        <w:rPr>
          <w:rFonts w:eastAsia="MS Mincho" w:cs="Cambria"/>
          <w:sz w:val="28"/>
          <w:szCs w:val="28"/>
        </w:rPr>
        <w:tab/>
      </w:r>
      <w:r w:rsidR="00B87D6E" w:rsidRPr="00A90066">
        <w:rPr>
          <w:rFonts w:eastAsia="MS Mincho" w:cs="Cambria"/>
          <w:sz w:val="28"/>
          <w:szCs w:val="28"/>
        </w:rPr>
        <w:t xml:space="preserve">Raportat la această sesizare, Primăria Municipiului București </w:t>
      </w:r>
      <w:r w:rsidR="00A66919" w:rsidRPr="00A90066">
        <w:rPr>
          <w:rFonts w:eastAsia="MS Mincho" w:cs="Cambria"/>
          <w:sz w:val="28"/>
          <w:szCs w:val="28"/>
        </w:rPr>
        <w:t>prin adresa nr. 33173/05.04.2022</w:t>
      </w:r>
      <w:r w:rsidR="00A66919" w:rsidRPr="00A66919">
        <w:rPr>
          <w:rFonts w:eastAsia="MS Mincho" w:cs="Cambria"/>
          <w:sz w:val="28"/>
          <w:szCs w:val="28"/>
        </w:rPr>
        <w:t xml:space="preserve"> precizează că </w:t>
      </w:r>
      <w:r w:rsidR="00A66919" w:rsidRPr="00A66919">
        <w:rPr>
          <w:rFonts w:eastAsia="MS Mincho" w:cs="Cambria"/>
          <w:b/>
          <w:sz w:val="28"/>
          <w:szCs w:val="28"/>
          <w:u w:val="single"/>
        </w:rPr>
        <w:t xml:space="preserve">influențele majorării prețului de producere, transport, distribuție şi furnizare a energiei termice livrate populaţiei de la 818,61 lei/Gcal la 995,35 lei/Gcal şi respectiv ale preţului local al energiei termice facturate populației </w:t>
      </w:r>
      <w:r w:rsidR="00A66919" w:rsidRPr="00A66919">
        <w:rPr>
          <w:rFonts w:eastAsia="MS Mincho" w:cs="Cambria"/>
          <w:b/>
          <w:i/>
          <w:sz w:val="28"/>
          <w:szCs w:val="28"/>
          <w:u w:val="single"/>
        </w:rPr>
        <w:t>”vor fi reflectate într-o viitoare rectificare pozitivă a bugetului Municipiului București”</w:t>
      </w:r>
      <w:r>
        <w:rPr>
          <w:rFonts w:eastAsia="MS Mincho" w:cs="Cambria"/>
          <w:i/>
          <w:sz w:val="28"/>
          <w:szCs w:val="28"/>
        </w:rPr>
        <w:t>.</w:t>
      </w:r>
    </w:p>
    <w:p w14:paraId="5C8E8EE9" w14:textId="5D9E4C07" w:rsidR="00A66919" w:rsidRDefault="00145C3D" w:rsidP="00754381">
      <w:pPr>
        <w:tabs>
          <w:tab w:val="left" w:pos="0"/>
          <w:tab w:val="left" w:pos="900"/>
          <w:tab w:val="center" w:pos="4320"/>
          <w:tab w:val="left" w:pos="4965"/>
          <w:tab w:val="right" w:pos="8640"/>
          <w:tab w:val="right" w:pos="10773"/>
        </w:tabs>
        <w:spacing w:after="120" w:line="240" w:lineRule="auto"/>
        <w:jc w:val="both"/>
        <w:rPr>
          <w:rFonts w:eastAsia="MS Mincho" w:cs="Cambria"/>
          <w:b/>
          <w:sz w:val="28"/>
          <w:szCs w:val="28"/>
          <w:u w:val="single"/>
        </w:rPr>
      </w:pPr>
      <w:r>
        <w:rPr>
          <w:rFonts w:eastAsia="MS Mincho" w:cs="Cambria"/>
          <w:i/>
          <w:sz w:val="28"/>
          <w:szCs w:val="28"/>
        </w:rPr>
        <w:tab/>
      </w:r>
      <w:r w:rsidRPr="00145C3D">
        <w:rPr>
          <w:rFonts w:eastAsia="MS Mincho" w:cs="Cambria"/>
          <w:iCs/>
          <w:sz w:val="28"/>
          <w:szCs w:val="28"/>
        </w:rPr>
        <w:t xml:space="preserve">Aceeași problemă a fost sesizată în mod repetat de către Societatea ELECTROCENTRALE București S.A., </w:t>
      </w:r>
      <w:r>
        <w:rPr>
          <w:rFonts w:eastAsia="MS Mincho" w:cs="Cambria"/>
          <w:iCs/>
          <w:sz w:val="28"/>
          <w:szCs w:val="28"/>
        </w:rPr>
        <w:t xml:space="preserve">care a detaliat </w:t>
      </w:r>
      <w:r w:rsidR="00A66919" w:rsidRPr="00A66919">
        <w:rPr>
          <w:rFonts w:eastAsia="MS Mincho" w:cs="Cambria"/>
          <w:b/>
          <w:sz w:val="28"/>
          <w:szCs w:val="28"/>
          <w:u w:val="single"/>
        </w:rPr>
        <w:t>dificultățile înregistrate de</w:t>
      </w:r>
      <w:r w:rsidR="00366F91">
        <w:rPr>
          <w:rFonts w:eastAsia="MS Mincho" w:cs="Cambria"/>
          <w:b/>
          <w:sz w:val="28"/>
          <w:szCs w:val="28"/>
          <w:u w:val="single"/>
        </w:rPr>
        <w:t xml:space="preserve"> aceasta</w:t>
      </w:r>
      <w:r w:rsidR="00A66919" w:rsidRPr="00A66919">
        <w:rPr>
          <w:rFonts w:eastAsia="MS Mincho" w:cs="Cambria"/>
          <w:sz w:val="28"/>
          <w:szCs w:val="28"/>
        </w:rPr>
        <w:t xml:space="preserve"> în ceea ce privește </w:t>
      </w:r>
      <w:r w:rsidR="00A66919" w:rsidRPr="00A66919">
        <w:rPr>
          <w:rFonts w:eastAsia="MS Mincho" w:cs="Cambria"/>
          <w:b/>
          <w:sz w:val="28"/>
          <w:szCs w:val="28"/>
          <w:u w:val="single"/>
        </w:rPr>
        <w:t xml:space="preserve">neîncasarea creanțelor curente scadente înregistrate față de Compania Municipală Termoenergetica București S.A. </w:t>
      </w:r>
    </w:p>
    <w:p w14:paraId="38F3E2FF" w14:textId="45825718" w:rsidR="00552EB1" w:rsidRDefault="00366F91" w:rsidP="00754381">
      <w:pPr>
        <w:tabs>
          <w:tab w:val="left" w:pos="0"/>
          <w:tab w:val="left" w:pos="900"/>
          <w:tab w:val="center" w:pos="4320"/>
          <w:tab w:val="left" w:pos="4965"/>
          <w:tab w:val="right" w:pos="8640"/>
          <w:tab w:val="right" w:pos="10773"/>
        </w:tabs>
        <w:spacing w:after="120" w:line="240" w:lineRule="auto"/>
        <w:jc w:val="both"/>
        <w:rPr>
          <w:rFonts w:eastAsia="MS Mincho" w:cs="Cambria"/>
          <w:bCs/>
          <w:sz w:val="28"/>
          <w:szCs w:val="28"/>
        </w:rPr>
      </w:pPr>
      <w:r w:rsidRPr="00366F91">
        <w:rPr>
          <w:rFonts w:eastAsia="MS Mincho" w:cs="Cambria"/>
          <w:b/>
          <w:sz w:val="28"/>
          <w:szCs w:val="28"/>
        </w:rPr>
        <w:tab/>
      </w:r>
      <w:r w:rsidRPr="00366F91">
        <w:rPr>
          <w:rFonts w:eastAsia="MS Mincho" w:cs="Cambria"/>
          <w:bCs/>
          <w:sz w:val="28"/>
          <w:szCs w:val="28"/>
        </w:rPr>
        <w:t xml:space="preserve">Pentru depășirea situației create, respectiv, </w:t>
      </w:r>
      <w:r>
        <w:rPr>
          <w:rFonts w:eastAsia="MS Mincho" w:cs="Cambria"/>
          <w:bCs/>
          <w:sz w:val="28"/>
          <w:szCs w:val="28"/>
        </w:rPr>
        <w:t>a blocajului financiar în lanț determinat de neplata obligațiilor datorate de Municipiul București către CMTB, în vederea stabilirii măsurilor necesare pentru evitarea unui eventual blocaj financiar determinat de alocarea cu destinație exclusivă a cotelor defalcate din impozitul pe venit, cu posibile repercusiuni asupra proiectelor de investiții aflate în derulare, funcționarea serviciilor publice</w:t>
      </w:r>
      <w:r w:rsidR="00552EB1">
        <w:rPr>
          <w:rFonts w:eastAsia="MS Mincho" w:cs="Cambria"/>
          <w:bCs/>
          <w:sz w:val="28"/>
          <w:szCs w:val="28"/>
        </w:rPr>
        <w:t xml:space="preserve"> (apă, </w:t>
      </w:r>
      <w:r w:rsidR="00552EB1">
        <w:rPr>
          <w:rFonts w:eastAsia="MS Mincho" w:cs="Cambria"/>
          <w:bCs/>
          <w:sz w:val="28"/>
          <w:szCs w:val="28"/>
        </w:rPr>
        <w:lastRenderedPageBreak/>
        <w:t>transport)</w:t>
      </w:r>
      <w:r>
        <w:rPr>
          <w:rFonts w:eastAsia="MS Mincho" w:cs="Cambria"/>
          <w:bCs/>
          <w:sz w:val="28"/>
          <w:szCs w:val="28"/>
        </w:rPr>
        <w:t xml:space="preserve">, la </w:t>
      </w:r>
      <w:r w:rsidR="00552EB1">
        <w:rPr>
          <w:rFonts w:eastAsia="MS Mincho" w:cs="Cambria"/>
          <w:bCs/>
          <w:sz w:val="28"/>
          <w:szCs w:val="28"/>
        </w:rPr>
        <w:t>nivelul MDLPA au fost organizate două întâlniri de mediere între părți</w:t>
      </w:r>
      <w:r w:rsidR="0043759D">
        <w:rPr>
          <w:rFonts w:eastAsia="MS Mincho" w:cs="Cambria"/>
          <w:bCs/>
          <w:sz w:val="28"/>
          <w:szCs w:val="28"/>
        </w:rPr>
        <w:t xml:space="preserve"> (21 iunie 2022 și 05 iulie 2022)</w:t>
      </w:r>
      <w:r w:rsidR="00552EB1">
        <w:rPr>
          <w:rFonts w:eastAsia="MS Mincho" w:cs="Cambria"/>
          <w:bCs/>
          <w:sz w:val="28"/>
          <w:szCs w:val="28"/>
        </w:rPr>
        <w:t>.</w:t>
      </w:r>
    </w:p>
    <w:p w14:paraId="5D4A41E3" w14:textId="6C6EF26C" w:rsidR="00FB22C8" w:rsidRPr="00552EB1" w:rsidRDefault="00FB22C8" w:rsidP="00754381">
      <w:pPr>
        <w:tabs>
          <w:tab w:val="left" w:pos="0"/>
          <w:tab w:val="left" w:pos="900"/>
          <w:tab w:val="center" w:pos="4320"/>
          <w:tab w:val="left" w:pos="4965"/>
          <w:tab w:val="right" w:pos="8640"/>
          <w:tab w:val="right" w:pos="10773"/>
        </w:tabs>
        <w:spacing w:after="120" w:line="240" w:lineRule="auto"/>
        <w:jc w:val="both"/>
        <w:rPr>
          <w:rFonts w:eastAsia="MS Mincho" w:cs="Cambria"/>
          <w:bCs/>
          <w:sz w:val="28"/>
          <w:szCs w:val="28"/>
        </w:rPr>
      </w:pPr>
      <w:r>
        <w:rPr>
          <w:rFonts w:eastAsia="MS Mincho" w:cs="Cambria"/>
          <w:bCs/>
          <w:sz w:val="28"/>
          <w:szCs w:val="28"/>
        </w:rPr>
        <w:t xml:space="preserve">        În cadrul acestor întâlniri, Primăria Municipiului București și-a recunoscut obligațiile de plată și a propus o plată eșalonată în cuantum de 110.000 mii lei lunar, soluție ce nu a fost agreată de reprezentanții operatorilor economici ce </w:t>
      </w:r>
      <w:r w:rsidR="0043759D">
        <w:rPr>
          <w:rFonts w:eastAsia="MS Mincho" w:cs="Cambria"/>
          <w:bCs/>
          <w:sz w:val="28"/>
          <w:szCs w:val="28"/>
        </w:rPr>
        <w:t xml:space="preserve">implicați în actualul blocaj financiar. </w:t>
      </w:r>
    </w:p>
    <w:p w14:paraId="4232310B" w14:textId="7A81BDB8" w:rsidR="0095239A" w:rsidRPr="0095239A" w:rsidRDefault="0095239A" w:rsidP="00754381">
      <w:pPr>
        <w:tabs>
          <w:tab w:val="left" w:pos="10206"/>
        </w:tabs>
        <w:spacing w:after="120" w:line="240" w:lineRule="auto"/>
        <w:ind w:firstLine="709"/>
        <w:jc w:val="both"/>
        <w:rPr>
          <w:rFonts w:eastAsia="Times New Roman" w:cs="Times New Roman"/>
          <w:b/>
          <w:bCs/>
          <w:sz w:val="28"/>
          <w:szCs w:val="28"/>
          <w:u w:val="single"/>
        </w:rPr>
      </w:pPr>
      <w:r w:rsidRPr="0095239A">
        <w:rPr>
          <w:rFonts w:eastAsia="Times New Roman" w:cs="Times New Roman"/>
          <w:bCs/>
          <w:sz w:val="28"/>
          <w:szCs w:val="28"/>
        </w:rPr>
        <w:t xml:space="preserve">Prin </w:t>
      </w:r>
      <w:r w:rsidR="0043759D">
        <w:rPr>
          <w:rFonts w:eastAsia="Times New Roman" w:cs="Times New Roman"/>
          <w:bCs/>
          <w:sz w:val="28"/>
          <w:szCs w:val="28"/>
        </w:rPr>
        <w:t xml:space="preserve">adresa </w:t>
      </w:r>
      <w:r w:rsidR="000E1D88" w:rsidRPr="000E1D88">
        <w:rPr>
          <w:rFonts w:eastAsia="Times New Roman" w:cs="Times New Roman"/>
          <w:bCs/>
          <w:sz w:val="28"/>
          <w:szCs w:val="28"/>
        </w:rPr>
        <w:t xml:space="preserve">nr. 64247/15.07.2022 Compania Municipală Termoenergetica București </w:t>
      </w:r>
      <w:r w:rsidRPr="0095239A">
        <w:rPr>
          <w:rFonts w:eastAsia="Times New Roman" w:cs="Times New Roman"/>
          <w:bCs/>
          <w:sz w:val="28"/>
          <w:szCs w:val="28"/>
        </w:rPr>
        <w:t>solicită emite</w:t>
      </w:r>
      <w:r w:rsidR="002346B3" w:rsidRPr="000E1D88">
        <w:rPr>
          <w:rFonts w:eastAsia="Times New Roman" w:cs="Times New Roman"/>
          <w:bCs/>
          <w:sz w:val="28"/>
          <w:szCs w:val="28"/>
        </w:rPr>
        <w:t>rea ordin</w:t>
      </w:r>
      <w:r w:rsidR="0043759D">
        <w:rPr>
          <w:rFonts w:eastAsia="Times New Roman" w:cs="Times New Roman"/>
          <w:bCs/>
          <w:sz w:val="28"/>
          <w:szCs w:val="28"/>
        </w:rPr>
        <w:t>ului</w:t>
      </w:r>
      <w:r w:rsidR="002346B3" w:rsidRPr="000E1D88">
        <w:rPr>
          <w:rFonts w:eastAsia="Times New Roman" w:cs="Times New Roman"/>
          <w:bCs/>
          <w:sz w:val="28"/>
          <w:szCs w:val="28"/>
        </w:rPr>
        <w:t xml:space="preserve"> comun MDLPA – MF</w:t>
      </w:r>
      <w:r w:rsidRPr="0095239A">
        <w:rPr>
          <w:rFonts w:eastAsia="Times New Roman" w:cs="Times New Roman"/>
          <w:bCs/>
          <w:sz w:val="28"/>
          <w:szCs w:val="28"/>
        </w:rPr>
        <w:t xml:space="preserve">, în baza căruia, Direcția Generală Regională a Finanţelor Publice București alocă bugetului local al Municipiului București cotele defalcate din impozitul pe venit, cuvenite potrivit legii, numai pentru plata obligaţiilor către furnizorul de energie termică </w:t>
      </w:r>
      <w:r w:rsidR="000E1D88" w:rsidRPr="000E1D88">
        <w:rPr>
          <w:rFonts w:eastAsia="Times New Roman" w:cs="Times New Roman"/>
          <w:bCs/>
          <w:sz w:val="28"/>
          <w:szCs w:val="28"/>
        </w:rPr>
        <w:t xml:space="preserve">Compania Municipală Termoenergetica București, </w:t>
      </w:r>
      <w:r w:rsidRPr="0095239A">
        <w:rPr>
          <w:rFonts w:eastAsia="Times New Roman" w:cs="Times New Roman"/>
          <w:bCs/>
          <w:sz w:val="28"/>
          <w:szCs w:val="28"/>
        </w:rPr>
        <w:t>până la lichidarea obligaţiilor respective</w:t>
      </w:r>
      <w:r w:rsidR="000E1D88" w:rsidRPr="000E1D88">
        <w:rPr>
          <w:rFonts w:eastAsia="Times New Roman" w:cs="Times New Roman"/>
          <w:bCs/>
          <w:sz w:val="28"/>
          <w:szCs w:val="28"/>
        </w:rPr>
        <w:t xml:space="preserve">, la data de 15 iulie 2022 </w:t>
      </w:r>
      <w:r w:rsidRPr="0095239A">
        <w:rPr>
          <w:rFonts w:eastAsia="Times New Roman" w:cs="Times New Roman"/>
          <w:bCs/>
          <w:sz w:val="28"/>
          <w:szCs w:val="28"/>
        </w:rPr>
        <w:t xml:space="preserve">în sumă de </w:t>
      </w:r>
      <w:r w:rsidR="000E1D88" w:rsidRPr="000E1D88">
        <w:rPr>
          <w:rFonts w:eastAsia="Times New Roman" w:cs="Times New Roman"/>
          <w:b/>
          <w:bCs/>
          <w:sz w:val="28"/>
          <w:szCs w:val="28"/>
          <w:u w:val="single"/>
        </w:rPr>
        <w:t xml:space="preserve">397.035.641,47 </w:t>
      </w:r>
      <w:r w:rsidRPr="0095239A">
        <w:rPr>
          <w:rFonts w:eastAsia="Times New Roman" w:cs="Times New Roman"/>
          <w:b/>
          <w:bCs/>
          <w:sz w:val="28"/>
          <w:szCs w:val="28"/>
          <w:u w:val="single"/>
        </w:rPr>
        <w:t>lei</w:t>
      </w:r>
      <w:r w:rsidR="000E1D88" w:rsidRPr="000E1D88">
        <w:rPr>
          <w:rFonts w:eastAsia="Times New Roman" w:cs="Times New Roman"/>
          <w:b/>
          <w:bCs/>
          <w:sz w:val="28"/>
          <w:szCs w:val="28"/>
          <w:u w:val="single"/>
        </w:rPr>
        <w:t>,</w:t>
      </w:r>
      <w:r w:rsidRPr="0095239A">
        <w:rPr>
          <w:rFonts w:eastAsia="Times New Roman" w:cs="Times New Roman"/>
          <w:b/>
          <w:bCs/>
          <w:sz w:val="28"/>
          <w:szCs w:val="28"/>
          <w:u w:val="single"/>
        </w:rPr>
        <w:t xml:space="preserve"> în conformitate cu prevederile alin. (5) al art. 3 din Ordonanţa Guvernului nr. 36/2006 privind unele măsuri pentru funcţionarea sistemelor centralizate de alimentare cu energie termică a populaţiei.</w:t>
      </w:r>
    </w:p>
    <w:p w14:paraId="2B8A6ECE" w14:textId="68EE9C6E" w:rsidR="0095239A" w:rsidRPr="0095239A" w:rsidRDefault="0095239A" w:rsidP="00754381">
      <w:pPr>
        <w:tabs>
          <w:tab w:val="left" w:pos="0"/>
        </w:tabs>
        <w:spacing w:after="120" w:line="240" w:lineRule="auto"/>
        <w:ind w:firstLine="720"/>
        <w:jc w:val="both"/>
        <w:rPr>
          <w:rFonts w:eastAsia="Times New Roman" w:cs="Times New Roman"/>
          <w:sz w:val="28"/>
          <w:szCs w:val="28"/>
        </w:rPr>
      </w:pPr>
      <w:r w:rsidRPr="0095239A">
        <w:rPr>
          <w:rFonts w:eastAsia="Times New Roman" w:cs="Times New Roman"/>
          <w:sz w:val="28"/>
          <w:szCs w:val="28"/>
        </w:rPr>
        <w:t xml:space="preserve">Având în vedere circumstanţele de mai sus, a fost elaborat </w:t>
      </w:r>
      <w:r w:rsidRPr="0095239A">
        <w:rPr>
          <w:rFonts w:eastAsia="Times New Roman" w:cs="Times New Roman"/>
          <w:i/>
          <w:sz w:val="28"/>
          <w:szCs w:val="28"/>
        </w:rPr>
        <w:t>proiectul de ordin al ministrului lucrărilor publice, dezvoltării și administraţiei şi al ministrului finanţelor publice pentru aplicarea la nivelul municipiului București a prevederilor alin. (5) al art. 3 din Ordonanţa Guvernului nr. 36/2006 privind unele măsuri pentru funcţionarea sistemelor centralizate de alimentare cu energie termică a populaţiei,</w:t>
      </w:r>
      <w:r w:rsidRPr="0095239A">
        <w:rPr>
          <w:rFonts w:eastAsia="Times New Roman" w:cs="Times New Roman"/>
          <w:sz w:val="28"/>
          <w:szCs w:val="28"/>
        </w:rPr>
        <w:t xml:space="preserve"> prezentat alăturat</w:t>
      </w:r>
      <w:r w:rsidR="00A13B6C">
        <w:rPr>
          <w:rFonts w:eastAsia="Times New Roman" w:cs="Times New Roman"/>
          <w:sz w:val="28"/>
          <w:szCs w:val="28"/>
        </w:rPr>
        <w:t>.</w:t>
      </w:r>
    </w:p>
    <w:p w14:paraId="25AC8BF7" w14:textId="77777777" w:rsidR="000A48C4" w:rsidRDefault="000A48C4" w:rsidP="0043759D">
      <w:pPr>
        <w:spacing w:after="120" w:line="240" w:lineRule="auto"/>
        <w:rPr>
          <w:b/>
          <w:bCs/>
          <w:sz w:val="28"/>
          <w:szCs w:val="28"/>
        </w:rPr>
      </w:pPr>
    </w:p>
    <w:p w14:paraId="1696817A" w14:textId="678246B0" w:rsidR="00534BB7" w:rsidRPr="00AF05F9" w:rsidRDefault="00534BB7" w:rsidP="000A48C4">
      <w:pPr>
        <w:spacing w:after="0" w:line="240" w:lineRule="auto"/>
        <w:jc w:val="right"/>
        <w:rPr>
          <w:rFonts w:eastAsia="MS Gothic" w:cs="Times New Roman"/>
          <w:b/>
          <w:bCs/>
          <w:kern w:val="28"/>
          <w:sz w:val="19"/>
          <w:szCs w:val="19"/>
        </w:rPr>
      </w:pPr>
    </w:p>
    <w:sectPr w:rsidR="00534BB7" w:rsidRPr="00AF05F9" w:rsidSect="000F78B6">
      <w:footerReference w:type="default" r:id="rId7"/>
      <w:headerReference w:type="first" r:id="rId8"/>
      <w:footerReference w:type="first" r:id="rId9"/>
      <w:pgSz w:w="11906" w:h="16838" w:code="9"/>
      <w:pgMar w:top="806" w:right="1134" w:bottom="851" w:left="993"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2A2C1" w14:textId="77777777" w:rsidR="00ED4264" w:rsidRDefault="00ED4264" w:rsidP="0016561B">
      <w:r>
        <w:separator/>
      </w:r>
    </w:p>
  </w:endnote>
  <w:endnote w:type="continuationSeparator" w:id="0">
    <w:p w14:paraId="5E347FC1" w14:textId="77777777" w:rsidR="00ED4264" w:rsidRDefault="00ED4264" w:rsidP="0016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ajan Pro">
    <w:altName w:val="Georgia"/>
    <w:panose1 w:val="00000000000000000000"/>
    <w:charset w:val="00"/>
    <w:family w:val="roman"/>
    <w:notTrueType/>
    <w:pitch w:val="variable"/>
    <w:sig w:usb0="800000AF" w:usb1="5000204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B9D0" w14:textId="011C8AC8" w:rsidR="00EB3500" w:rsidRPr="006F3CAD" w:rsidRDefault="00750E2E" w:rsidP="00EB3500">
    <w:pPr>
      <w:pStyle w:val="Footer"/>
      <w:tabs>
        <w:tab w:val="clear" w:pos="4680"/>
        <w:tab w:val="clear" w:pos="9360"/>
        <w:tab w:val="right" w:pos="9071"/>
      </w:tabs>
      <w:jc w:val="right"/>
      <w:rPr>
        <w:sz w:val="16"/>
        <w:szCs w:val="16"/>
      </w:rPr>
    </w:pPr>
    <w:r w:rsidRPr="006F3CAD">
      <w:rPr>
        <w:bCs/>
        <w:sz w:val="16"/>
        <w:szCs w:val="16"/>
      </w:rPr>
      <w:fldChar w:fldCharType="begin"/>
    </w:r>
    <w:r w:rsidR="00EB3500" w:rsidRPr="006F3CAD">
      <w:rPr>
        <w:bCs/>
        <w:sz w:val="16"/>
        <w:szCs w:val="16"/>
      </w:rPr>
      <w:instrText xml:space="preserve"> PAGE  \* Arabic  \* MERGEFORMAT </w:instrText>
    </w:r>
    <w:r w:rsidRPr="006F3CAD">
      <w:rPr>
        <w:bCs/>
        <w:sz w:val="16"/>
        <w:szCs w:val="16"/>
      </w:rPr>
      <w:fldChar w:fldCharType="separate"/>
    </w:r>
    <w:r w:rsidR="002972E5">
      <w:rPr>
        <w:bCs/>
        <w:noProof/>
        <w:sz w:val="16"/>
        <w:szCs w:val="16"/>
      </w:rPr>
      <w:t>2</w:t>
    </w:r>
    <w:r w:rsidRPr="006F3CAD">
      <w:rPr>
        <w:bCs/>
        <w:sz w:val="16"/>
        <w:szCs w:val="16"/>
      </w:rPr>
      <w:fldChar w:fldCharType="end"/>
    </w:r>
    <w:r w:rsidR="00EB3500" w:rsidRPr="006F3CAD">
      <w:rPr>
        <w:sz w:val="16"/>
        <w:szCs w:val="16"/>
      </w:rPr>
      <w:t>/</w:t>
    </w:r>
    <w:r w:rsidR="00611402">
      <w:rPr>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CBF0" w14:textId="27FF8997" w:rsidR="00067681" w:rsidRPr="006F3CAD" w:rsidRDefault="00660381" w:rsidP="00660381">
    <w:pPr>
      <w:pStyle w:val="Footer"/>
      <w:tabs>
        <w:tab w:val="clear" w:pos="4680"/>
        <w:tab w:val="clear" w:pos="9360"/>
        <w:tab w:val="right" w:pos="9071"/>
      </w:tabs>
      <w:rPr>
        <w:sz w:val="16"/>
        <w:szCs w:val="16"/>
      </w:rPr>
    </w:pPr>
    <w:r>
      <w:rPr>
        <w:sz w:val="20"/>
        <w:szCs w:val="20"/>
      </w:rPr>
      <w:tab/>
    </w:r>
    <w:r w:rsidR="00750E2E" w:rsidRPr="006F3CAD">
      <w:rPr>
        <w:bCs/>
        <w:sz w:val="16"/>
        <w:szCs w:val="16"/>
      </w:rPr>
      <w:fldChar w:fldCharType="begin"/>
    </w:r>
    <w:r w:rsidRPr="006F3CAD">
      <w:rPr>
        <w:bCs/>
        <w:sz w:val="16"/>
        <w:szCs w:val="16"/>
      </w:rPr>
      <w:instrText xml:space="preserve"> PAGE  \* Arabic  \* MERGEFORMAT </w:instrText>
    </w:r>
    <w:r w:rsidR="00750E2E" w:rsidRPr="006F3CAD">
      <w:rPr>
        <w:bCs/>
        <w:sz w:val="16"/>
        <w:szCs w:val="16"/>
      </w:rPr>
      <w:fldChar w:fldCharType="separate"/>
    </w:r>
    <w:r w:rsidR="007F3A83">
      <w:rPr>
        <w:bCs/>
        <w:noProof/>
        <w:sz w:val="16"/>
        <w:szCs w:val="16"/>
      </w:rPr>
      <w:t>1</w:t>
    </w:r>
    <w:r w:rsidR="00750E2E" w:rsidRPr="006F3CAD">
      <w:rPr>
        <w:bCs/>
        <w:sz w:val="16"/>
        <w:szCs w:val="16"/>
      </w:rPr>
      <w:fldChar w:fldCharType="end"/>
    </w:r>
    <w:r w:rsidRPr="006F3CAD">
      <w:rPr>
        <w:sz w:val="16"/>
        <w:szCs w:val="16"/>
      </w:rPr>
      <w:t>/</w:t>
    </w:r>
    <w:r w:rsidR="00611402">
      <w:rPr>
        <w:bCs/>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F357D" w14:textId="77777777" w:rsidR="00ED4264" w:rsidRDefault="00ED4264" w:rsidP="0016561B">
      <w:r>
        <w:separator/>
      </w:r>
    </w:p>
  </w:footnote>
  <w:footnote w:type="continuationSeparator" w:id="0">
    <w:p w14:paraId="3D8F41E1" w14:textId="77777777" w:rsidR="00ED4264" w:rsidRDefault="00ED4264" w:rsidP="00165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A922" w14:textId="7DDE5659" w:rsidR="00961563" w:rsidRDefault="00961563">
    <w:pPr>
      <w:pStyle w:val="Header"/>
      <w:rPr>
        <w:b/>
        <w:color w:val="000000" w:themeColor="text1"/>
        <w:sz w:val="18"/>
        <w:szCs w:val="18"/>
      </w:rPr>
    </w:pPr>
  </w:p>
  <w:p w14:paraId="02AC4C54" w14:textId="55A38A0B" w:rsidR="00961563" w:rsidRDefault="00776CE2">
    <w:pPr>
      <w:pStyle w:val="Header"/>
      <w:rPr>
        <w:b/>
        <w:color w:val="000000" w:themeColor="text1"/>
        <w:sz w:val="18"/>
        <w:szCs w:val="18"/>
      </w:rPr>
    </w:pPr>
    <w:r>
      <w:rPr>
        <w:noProof/>
        <w:lang w:eastAsia="ro-RO"/>
      </w:rPr>
      <mc:AlternateContent>
        <mc:Choice Requires="wps">
          <w:drawing>
            <wp:anchor distT="45720" distB="45720" distL="114300" distR="114300" simplePos="0" relativeHeight="251663360" behindDoc="0" locked="0" layoutInCell="1" allowOverlap="1" wp14:anchorId="6E14A94A" wp14:editId="47DFB7C7">
              <wp:simplePos x="0" y="0"/>
              <wp:positionH relativeFrom="margin">
                <wp:posOffset>1036320</wp:posOffset>
              </wp:positionH>
              <wp:positionV relativeFrom="page">
                <wp:posOffset>419100</wp:posOffset>
              </wp:positionV>
              <wp:extent cx="4309110" cy="5905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110" cy="590550"/>
                      </a:xfrm>
                      <a:prstGeom prst="rect">
                        <a:avLst/>
                      </a:prstGeom>
                      <a:solidFill>
                        <a:srgbClr val="FFFFFF"/>
                      </a:solidFill>
                      <a:ln w="9525">
                        <a:noFill/>
                        <a:miter lim="800000"/>
                        <a:headEnd/>
                        <a:tailEnd/>
                      </a:ln>
                    </wps:spPr>
                    <wps:txbx>
                      <w:txbxContent>
                        <w:p w14:paraId="361175C1" w14:textId="77777777" w:rsidR="00230B74" w:rsidRDefault="00EB3500" w:rsidP="00EB3500">
                          <w:pPr>
                            <w:pStyle w:val="Instituie"/>
                            <w:spacing w:after="0" w:line="240" w:lineRule="auto"/>
                          </w:pPr>
                          <w:r>
                            <w:t xml:space="preserve">Ministerul </w:t>
                          </w:r>
                          <w:r w:rsidR="00416BF7">
                            <w:t>Dezvoltării, Lucrărilor Publice</w:t>
                          </w:r>
                        </w:p>
                        <w:p w14:paraId="56DF4CB9" w14:textId="77777777" w:rsidR="00EB3500" w:rsidRPr="0016561B" w:rsidRDefault="00A57F3F" w:rsidP="00EB3500">
                          <w:pPr>
                            <w:pStyle w:val="Instituie"/>
                            <w:spacing w:after="0" w:line="240" w:lineRule="auto"/>
                          </w:pPr>
                          <w:r>
                            <w:t>ș</w:t>
                          </w:r>
                          <w:r w:rsidR="00D0624F">
                            <w:t>i Administrației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E14A94A" id="_x0000_t202" coordsize="21600,21600" o:spt="202" path="m,l,21600r21600,l21600,xe">
              <v:stroke joinstyle="miter"/>
              <v:path gradientshapeok="t" o:connecttype="rect"/>
            </v:shapetype>
            <v:shape id="Text Box 2" o:spid="_x0000_s1026" type="#_x0000_t202" style="position:absolute;margin-left:81.6pt;margin-top:33pt;width:339.3pt;height:4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" stroked="f">
              <v:textbox>
                <w:txbxContent>
                  <w:p w14:paraId="361175C1" w14:textId="77777777" w:rsidR="00230B74" w:rsidRDefault="00EB3500" w:rsidP="00EB3500">
                    <w:pPr>
                      <w:pStyle w:val="Instituie"/>
                      <w:spacing w:after="0" w:line="240" w:lineRule="auto"/>
                    </w:pPr>
                    <w:r>
                      <w:t xml:space="preserve">Ministerul </w:t>
                    </w:r>
                    <w:r w:rsidR="00416BF7">
                      <w:t>Dezvoltării, Lucrărilor Publice</w:t>
                    </w:r>
                  </w:p>
                  <w:p w14:paraId="56DF4CB9" w14:textId="77777777" w:rsidR="00EB3500" w:rsidRPr="0016561B" w:rsidRDefault="00A57F3F" w:rsidP="00EB3500">
                    <w:pPr>
                      <w:pStyle w:val="Instituie"/>
                      <w:spacing w:after="0" w:line="240" w:lineRule="auto"/>
                    </w:pPr>
                    <w:r>
                      <w:t>ș</w:t>
                    </w:r>
                    <w:r w:rsidR="00D0624F">
                      <w:t>i Administrației</w:t>
                    </w:r>
                  </w:p>
                </w:txbxContent>
              </v:textbox>
              <w10:wrap anchorx="margin" anchory="page"/>
            </v:shape>
          </w:pict>
        </mc:Fallback>
      </mc:AlternateContent>
    </w:r>
  </w:p>
  <w:p w14:paraId="26F8F73A" w14:textId="77777777" w:rsidR="00961563" w:rsidRDefault="00961563">
    <w:pPr>
      <w:pStyle w:val="Header"/>
      <w:rPr>
        <w:b/>
        <w:color w:val="000000" w:themeColor="text1"/>
        <w:sz w:val="18"/>
        <w:szCs w:val="18"/>
      </w:rPr>
    </w:pPr>
  </w:p>
  <w:p w14:paraId="38313534" w14:textId="77777777" w:rsidR="00961563" w:rsidRDefault="00961563">
    <w:pPr>
      <w:pStyle w:val="Header"/>
      <w:rPr>
        <w:b/>
        <w:color w:val="000000" w:themeColor="text1"/>
        <w:sz w:val="18"/>
        <w:szCs w:val="18"/>
      </w:rPr>
    </w:pPr>
  </w:p>
  <w:p w14:paraId="52D2E128" w14:textId="77777777" w:rsidR="00961563" w:rsidRDefault="00961563">
    <w:pPr>
      <w:pStyle w:val="Header"/>
      <w:rPr>
        <w:b/>
        <w:color w:val="000000" w:themeColor="text1"/>
        <w:sz w:val="18"/>
        <w:szCs w:val="18"/>
      </w:rPr>
    </w:pPr>
  </w:p>
  <w:p w14:paraId="7F14B07E" w14:textId="77777777" w:rsidR="00961563" w:rsidRDefault="00961563">
    <w:pPr>
      <w:pStyle w:val="Header"/>
      <w:rPr>
        <w:b/>
        <w:color w:val="000000" w:themeColor="text1"/>
        <w:sz w:val="18"/>
        <w:szCs w:val="18"/>
      </w:rPr>
    </w:pPr>
  </w:p>
  <w:tbl>
    <w:tblPr>
      <w:tblStyle w:val="TableGrid"/>
      <w:tblW w:w="11587"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4"/>
      <w:gridCol w:w="270"/>
      <w:gridCol w:w="4653"/>
    </w:tblGrid>
    <w:tr w:rsidR="00961563" w:rsidRPr="00A57F3F" w14:paraId="229203EF" w14:textId="77777777" w:rsidTr="00D0768C">
      <w:tc>
        <w:tcPr>
          <w:tcW w:w="6664" w:type="dxa"/>
        </w:tcPr>
        <w:p w14:paraId="27489E16" w14:textId="3EC3E7CF" w:rsidR="00961563" w:rsidRPr="00534BB7" w:rsidRDefault="00961563" w:rsidP="00BF73B7">
          <w:pPr>
            <w:rPr>
              <w:b/>
              <w:color w:val="000000" w:themeColor="text1"/>
              <w:sz w:val="18"/>
              <w:szCs w:val="18"/>
            </w:rPr>
          </w:pPr>
        </w:p>
      </w:tc>
      <w:tc>
        <w:tcPr>
          <w:tcW w:w="270" w:type="dxa"/>
        </w:tcPr>
        <w:p w14:paraId="27E58670" w14:textId="77777777" w:rsidR="00961563" w:rsidRPr="00534BB7" w:rsidRDefault="00961563" w:rsidP="005B23C1">
          <w:pPr>
            <w:tabs>
              <w:tab w:val="left" w:pos="60"/>
            </w:tabs>
            <w:ind w:left="2086" w:hanging="2086"/>
            <w:rPr>
              <w:b/>
              <w:color w:val="000000" w:themeColor="text1"/>
              <w:sz w:val="18"/>
              <w:szCs w:val="18"/>
            </w:rPr>
          </w:pPr>
        </w:p>
      </w:tc>
      <w:tc>
        <w:tcPr>
          <w:tcW w:w="4653" w:type="dxa"/>
        </w:tcPr>
        <w:p w14:paraId="0DE19807" w14:textId="591E01FA" w:rsidR="00961563" w:rsidRPr="00534BB7" w:rsidRDefault="00961563" w:rsidP="00BF73B7">
          <w:pPr>
            <w:rPr>
              <w:b/>
              <w:color w:val="000000" w:themeColor="text1"/>
              <w:sz w:val="18"/>
              <w:szCs w:val="18"/>
            </w:rPr>
          </w:pPr>
        </w:p>
      </w:tc>
    </w:tr>
  </w:tbl>
  <w:p w14:paraId="56ADB4ED" w14:textId="77777777" w:rsidR="00067681" w:rsidRPr="00A57F3F" w:rsidRDefault="00067681">
    <w:pPr>
      <w:pStyle w:val="Header"/>
      <w:rPr>
        <w:b/>
        <w:color w:val="000000" w:themeColor="text1"/>
        <w:sz w:val="18"/>
        <w:szCs w:val="18"/>
      </w:rPr>
    </w:pPr>
    <w:r w:rsidRPr="00D32C37">
      <w:rPr>
        <w:noProof/>
        <w:lang w:eastAsia="ro-RO"/>
      </w:rPr>
      <w:drawing>
        <wp:anchor distT="0" distB="0" distL="114300" distR="114300" simplePos="0" relativeHeight="251657216" behindDoc="1" locked="0" layoutInCell="1" allowOverlap="1" wp14:anchorId="4B8BB180" wp14:editId="49254694">
          <wp:simplePos x="0" y="0"/>
          <wp:positionH relativeFrom="page">
            <wp:posOffset>540385</wp:posOffset>
          </wp:positionH>
          <wp:positionV relativeFrom="page">
            <wp:posOffset>360045</wp:posOffset>
          </wp:positionV>
          <wp:extent cx="899280" cy="899280"/>
          <wp:effectExtent l="0" t="0" r="0" b="0"/>
          <wp:wrapTight wrapText="bothSides">
            <wp:wrapPolygon edited="0">
              <wp:start x="6407" y="0"/>
              <wp:lineTo x="3203" y="1831"/>
              <wp:lineTo x="0" y="5492"/>
              <wp:lineTo x="0" y="16017"/>
              <wp:lineTo x="5034" y="21051"/>
              <wp:lineTo x="6407" y="21051"/>
              <wp:lineTo x="14644" y="21051"/>
              <wp:lineTo x="16017" y="21051"/>
              <wp:lineTo x="21051" y="16017"/>
              <wp:lineTo x="21051" y="5492"/>
              <wp:lineTo x="17847" y="1831"/>
              <wp:lineTo x="14644" y="0"/>
              <wp:lineTo x="640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280" cy="8992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6241"/>
    <w:multiLevelType w:val="hybridMultilevel"/>
    <w:tmpl w:val="6096C77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A590175"/>
    <w:multiLevelType w:val="hybridMultilevel"/>
    <w:tmpl w:val="5260A5A8"/>
    <w:lvl w:ilvl="0" w:tplc="D9DA09CC">
      <w:start w:val="1"/>
      <w:numFmt w:val="lowerLetter"/>
      <w:lvlText w:val="%1)"/>
      <w:lvlJc w:val="left"/>
      <w:pPr>
        <w:ind w:left="1070" w:hanging="360"/>
      </w:pPr>
      <w:rPr>
        <w:rFonts w:eastAsia="Times New Roman" w:cs="Times New Roman" w:hint="default"/>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2" w15:restartNumberingAfterBreak="0">
    <w:nsid w:val="35CE50FD"/>
    <w:multiLevelType w:val="hybridMultilevel"/>
    <w:tmpl w:val="C36A712C"/>
    <w:lvl w:ilvl="0" w:tplc="B7664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F6363D"/>
    <w:multiLevelType w:val="hybridMultilevel"/>
    <w:tmpl w:val="A984D952"/>
    <w:lvl w:ilvl="0" w:tplc="EAFC535E">
      <w:start w:val="3"/>
      <w:numFmt w:val="upperRoman"/>
      <w:lvlText w:val="%1."/>
      <w:lvlJc w:val="left"/>
      <w:pPr>
        <w:ind w:left="1440" w:hanging="720"/>
      </w:pPr>
      <w:rPr>
        <w:rFonts w:hint="default"/>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41CF62C0"/>
    <w:multiLevelType w:val="hybridMultilevel"/>
    <w:tmpl w:val="90661C0E"/>
    <w:lvl w:ilvl="0" w:tplc="BBCE5306">
      <w:start w:val="1"/>
      <w:numFmt w:val="lowerLetter"/>
      <w:lvlText w:val="%1)"/>
      <w:lvlJc w:val="left"/>
      <w:pPr>
        <w:ind w:left="1080" w:hanging="360"/>
      </w:pPr>
      <w:rPr>
        <w:rFonts w:cs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26648A"/>
    <w:multiLevelType w:val="hybridMultilevel"/>
    <w:tmpl w:val="C0AE72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2C6091"/>
    <w:multiLevelType w:val="hybridMultilevel"/>
    <w:tmpl w:val="F64A2A76"/>
    <w:lvl w:ilvl="0" w:tplc="99F0F4E8">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B1606D"/>
    <w:multiLevelType w:val="hybridMultilevel"/>
    <w:tmpl w:val="EBD265A6"/>
    <w:lvl w:ilvl="0" w:tplc="04090009">
      <w:start w:val="1"/>
      <w:numFmt w:val="bullet"/>
      <w:lvlText w:val=""/>
      <w:lvlJc w:val="left"/>
      <w:pPr>
        <w:ind w:left="1890" w:hanging="360"/>
      </w:pPr>
      <w:rPr>
        <w:rFonts w:ascii="Wingdings" w:hAnsi="Wingdings" w:hint="default"/>
      </w:rPr>
    </w:lvl>
    <w:lvl w:ilvl="1" w:tplc="15409800">
      <w:numFmt w:val="bullet"/>
      <w:lvlText w:val="-"/>
      <w:lvlJc w:val="left"/>
      <w:pPr>
        <w:ind w:left="2610" w:hanging="360"/>
      </w:pPr>
      <w:rPr>
        <w:rFonts w:ascii="Trebuchet MS" w:eastAsia="Calibri" w:hAnsi="Trebuchet MS" w:cs="Times New Roman"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67B3112F"/>
    <w:multiLevelType w:val="hybridMultilevel"/>
    <w:tmpl w:val="B5BCA5D8"/>
    <w:lvl w:ilvl="0" w:tplc="735E7400">
      <w:start w:val="1"/>
      <w:numFmt w:val="lowerLetter"/>
      <w:lvlText w:val="%1)"/>
      <w:lvlJc w:val="left"/>
      <w:pPr>
        <w:ind w:left="1804" w:hanging="360"/>
      </w:pPr>
      <w:rPr>
        <w:rFonts w:hint="default"/>
      </w:rPr>
    </w:lvl>
    <w:lvl w:ilvl="1" w:tplc="04180019" w:tentative="1">
      <w:start w:val="1"/>
      <w:numFmt w:val="lowerLetter"/>
      <w:lvlText w:val="%2."/>
      <w:lvlJc w:val="left"/>
      <w:pPr>
        <w:ind w:left="2524" w:hanging="360"/>
      </w:pPr>
    </w:lvl>
    <w:lvl w:ilvl="2" w:tplc="0418001B" w:tentative="1">
      <w:start w:val="1"/>
      <w:numFmt w:val="lowerRoman"/>
      <w:lvlText w:val="%3."/>
      <w:lvlJc w:val="right"/>
      <w:pPr>
        <w:ind w:left="3244" w:hanging="180"/>
      </w:pPr>
    </w:lvl>
    <w:lvl w:ilvl="3" w:tplc="0418000F" w:tentative="1">
      <w:start w:val="1"/>
      <w:numFmt w:val="decimal"/>
      <w:lvlText w:val="%4."/>
      <w:lvlJc w:val="left"/>
      <w:pPr>
        <w:ind w:left="3964" w:hanging="360"/>
      </w:pPr>
    </w:lvl>
    <w:lvl w:ilvl="4" w:tplc="04180019" w:tentative="1">
      <w:start w:val="1"/>
      <w:numFmt w:val="lowerLetter"/>
      <w:lvlText w:val="%5."/>
      <w:lvlJc w:val="left"/>
      <w:pPr>
        <w:ind w:left="4684" w:hanging="360"/>
      </w:pPr>
    </w:lvl>
    <w:lvl w:ilvl="5" w:tplc="0418001B" w:tentative="1">
      <w:start w:val="1"/>
      <w:numFmt w:val="lowerRoman"/>
      <w:lvlText w:val="%6."/>
      <w:lvlJc w:val="right"/>
      <w:pPr>
        <w:ind w:left="5404" w:hanging="180"/>
      </w:pPr>
    </w:lvl>
    <w:lvl w:ilvl="6" w:tplc="0418000F" w:tentative="1">
      <w:start w:val="1"/>
      <w:numFmt w:val="decimal"/>
      <w:lvlText w:val="%7."/>
      <w:lvlJc w:val="left"/>
      <w:pPr>
        <w:ind w:left="6124" w:hanging="360"/>
      </w:pPr>
    </w:lvl>
    <w:lvl w:ilvl="7" w:tplc="04180019" w:tentative="1">
      <w:start w:val="1"/>
      <w:numFmt w:val="lowerLetter"/>
      <w:lvlText w:val="%8."/>
      <w:lvlJc w:val="left"/>
      <w:pPr>
        <w:ind w:left="6844" w:hanging="360"/>
      </w:pPr>
    </w:lvl>
    <w:lvl w:ilvl="8" w:tplc="0418001B" w:tentative="1">
      <w:start w:val="1"/>
      <w:numFmt w:val="lowerRoman"/>
      <w:lvlText w:val="%9."/>
      <w:lvlJc w:val="right"/>
      <w:pPr>
        <w:ind w:left="7564" w:hanging="180"/>
      </w:pPr>
    </w:lvl>
  </w:abstractNum>
  <w:abstractNum w:abstractNumId="9" w15:restartNumberingAfterBreak="0">
    <w:nsid w:val="77717D6B"/>
    <w:multiLevelType w:val="hybridMultilevel"/>
    <w:tmpl w:val="96BAC936"/>
    <w:lvl w:ilvl="0" w:tplc="6D14352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23A22"/>
    <w:multiLevelType w:val="hybridMultilevel"/>
    <w:tmpl w:val="2D00AA2E"/>
    <w:lvl w:ilvl="0" w:tplc="0A2CB57E">
      <w:start w:val="1"/>
      <w:numFmt w:val="decimal"/>
      <w:lvlText w:val="%1)"/>
      <w:lvlJc w:val="left"/>
      <w:pPr>
        <w:ind w:left="1211" w:hanging="360"/>
      </w:pPr>
      <w:rPr>
        <w:rFonts w:eastAsia="Times New Roman" w:cs="Times New Roman"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1" w15:restartNumberingAfterBreak="0">
    <w:nsid w:val="7F3436BA"/>
    <w:multiLevelType w:val="hybridMultilevel"/>
    <w:tmpl w:val="EA729F18"/>
    <w:lvl w:ilvl="0" w:tplc="F0209D04">
      <w:start w:val="1"/>
      <w:numFmt w:val="lowerLetter"/>
      <w:lvlText w:val="%1)"/>
      <w:lvlJc w:val="left"/>
      <w:pPr>
        <w:ind w:left="1950" w:hanging="990"/>
      </w:pPr>
      <w:rPr>
        <w:rFonts w:ascii="Trebuchet MS" w:hAnsi="Trebuchet MS" w:hint="default"/>
        <w:i w:val="0"/>
        <w:sz w:val="24"/>
        <w:szCs w:val="24"/>
      </w:rPr>
    </w:lvl>
    <w:lvl w:ilvl="1" w:tplc="04180019" w:tentative="1">
      <w:start w:val="1"/>
      <w:numFmt w:val="lowerLetter"/>
      <w:lvlText w:val="%2."/>
      <w:lvlJc w:val="left"/>
      <w:pPr>
        <w:ind w:left="2040" w:hanging="360"/>
      </w:pPr>
    </w:lvl>
    <w:lvl w:ilvl="2" w:tplc="0418001B" w:tentative="1">
      <w:start w:val="1"/>
      <w:numFmt w:val="lowerRoman"/>
      <w:lvlText w:val="%3."/>
      <w:lvlJc w:val="right"/>
      <w:pPr>
        <w:ind w:left="2760" w:hanging="180"/>
      </w:pPr>
    </w:lvl>
    <w:lvl w:ilvl="3" w:tplc="0418000F" w:tentative="1">
      <w:start w:val="1"/>
      <w:numFmt w:val="decimal"/>
      <w:lvlText w:val="%4."/>
      <w:lvlJc w:val="left"/>
      <w:pPr>
        <w:ind w:left="3480" w:hanging="360"/>
      </w:pPr>
    </w:lvl>
    <w:lvl w:ilvl="4" w:tplc="04180019" w:tentative="1">
      <w:start w:val="1"/>
      <w:numFmt w:val="lowerLetter"/>
      <w:lvlText w:val="%5."/>
      <w:lvlJc w:val="left"/>
      <w:pPr>
        <w:ind w:left="4200" w:hanging="360"/>
      </w:pPr>
    </w:lvl>
    <w:lvl w:ilvl="5" w:tplc="0418001B" w:tentative="1">
      <w:start w:val="1"/>
      <w:numFmt w:val="lowerRoman"/>
      <w:lvlText w:val="%6."/>
      <w:lvlJc w:val="right"/>
      <w:pPr>
        <w:ind w:left="4920" w:hanging="180"/>
      </w:pPr>
    </w:lvl>
    <w:lvl w:ilvl="6" w:tplc="0418000F" w:tentative="1">
      <w:start w:val="1"/>
      <w:numFmt w:val="decimal"/>
      <w:lvlText w:val="%7."/>
      <w:lvlJc w:val="left"/>
      <w:pPr>
        <w:ind w:left="5640" w:hanging="360"/>
      </w:pPr>
    </w:lvl>
    <w:lvl w:ilvl="7" w:tplc="04180019" w:tentative="1">
      <w:start w:val="1"/>
      <w:numFmt w:val="lowerLetter"/>
      <w:lvlText w:val="%8."/>
      <w:lvlJc w:val="left"/>
      <w:pPr>
        <w:ind w:left="6360" w:hanging="360"/>
      </w:pPr>
    </w:lvl>
    <w:lvl w:ilvl="8" w:tplc="0418001B" w:tentative="1">
      <w:start w:val="1"/>
      <w:numFmt w:val="lowerRoman"/>
      <w:lvlText w:val="%9."/>
      <w:lvlJc w:val="right"/>
      <w:pPr>
        <w:ind w:left="7080" w:hanging="180"/>
      </w:pPr>
    </w:lvl>
  </w:abstractNum>
  <w:num w:numId="1" w16cid:durableId="533541491">
    <w:abstractNumId w:val="8"/>
  </w:num>
  <w:num w:numId="2" w16cid:durableId="428552288">
    <w:abstractNumId w:val="11"/>
  </w:num>
  <w:num w:numId="3" w16cid:durableId="521211290">
    <w:abstractNumId w:val="10"/>
  </w:num>
  <w:num w:numId="4" w16cid:durableId="1089152987">
    <w:abstractNumId w:val="1"/>
  </w:num>
  <w:num w:numId="5" w16cid:durableId="771752794">
    <w:abstractNumId w:val="3"/>
  </w:num>
  <w:num w:numId="6" w16cid:durableId="913315450">
    <w:abstractNumId w:val="7"/>
  </w:num>
  <w:num w:numId="7" w16cid:durableId="1016157921">
    <w:abstractNumId w:val="2"/>
  </w:num>
  <w:num w:numId="8" w16cid:durableId="1068454040">
    <w:abstractNumId w:val="9"/>
  </w:num>
  <w:num w:numId="9" w16cid:durableId="1885369238">
    <w:abstractNumId w:val="5"/>
  </w:num>
  <w:num w:numId="10" w16cid:durableId="165444765">
    <w:abstractNumId w:val="4"/>
  </w:num>
  <w:num w:numId="11" w16cid:durableId="1363939292">
    <w:abstractNumId w:val="6"/>
  </w:num>
  <w:num w:numId="12" w16cid:durableId="283460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A8"/>
    <w:rsid w:val="00013D35"/>
    <w:rsid w:val="0004451D"/>
    <w:rsid w:val="00054F30"/>
    <w:rsid w:val="00057325"/>
    <w:rsid w:val="00066755"/>
    <w:rsid w:val="00067681"/>
    <w:rsid w:val="00077923"/>
    <w:rsid w:val="000A48C4"/>
    <w:rsid w:val="000A6199"/>
    <w:rsid w:val="000B2881"/>
    <w:rsid w:val="000B5400"/>
    <w:rsid w:val="000D4060"/>
    <w:rsid w:val="000D5FE2"/>
    <w:rsid w:val="000E1D88"/>
    <w:rsid w:val="000F78B6"/>
    <w:rsid w:val="0010451D"/>
    <w:rsid w:val="00117632"/>
    <w:rsid w:val="001457C6"/>
    <w:rsid w:val="001458D5"/>
    <w:rsid w:val="00145C3D"/>
    <w:rsid w:val="001518D3"/>
    <w:rsid w:val="00152923"/>
    <w:rsid w:val="00152BB9"/>
    <w:rsid w:val="00152F6E"/>
    <w:rsid w:val="0016561B"/>
    <w:rsid w:val="001741BF"/>
    <w:rsid w:val="001824B7"/>
    <w:rsid w:val="001C5769"/>
    <w:rsid w:val="001E069A"/>
    <w:rsid w:val="00220D5E"/>
    <w:rsid w:val="00223515"/>
    <w:rsid w:val="00230B74"/>
    <w:rsid w:val="00231991"/>
    <w:rsid w:val="002346B3"/>
    <w:rsid w:val="00273FED"/>
    <w:rsid w:val="002972E5"/>
    <w:rsid w:val="002A7AF9"/>
    <w:rsid w:val="002B2352"/>
    <w:rsid w:val="002B42AD"/>
    <w:rsid w:val="002B5EC4"/>
    <w:rsid w:val="002D3586"/>
    <w:rsid w:val="002E22A2"/>
    <w:rsid w:val="00302B23"/>
    <w:rsid w:val="003229D0"/>
    <w:rsid w:val="003248F7"/>
    <w:rsid w:val="00355D73"/>
    <w:rsid w:val="00364E3B"/>
    <w:rsid w:val="00366F91"/>
    <w:rsid w:val="003817F4"/>
    <w:rsid w:val="00384F00"/>
    <w:rsid w:val="003A251E"/>
    <w:rsid w:val="003A3D15"/>
    <w:rsid w:val="003A45C4"/>
    <w:rsid w:val="003A4CBA"/>
    <w:rsid w:val="003C75C8"/>
    <w:rsid w:val="003D10E8"/>
    <w:rsid w:val="003D2141"/>
    <w:rsid w:val="003D31BE"/>
    <w:rsid w:val="003F1807"/>
    <w:rsid w:val="004023A8"/>
    <w:rsid w:val="004046C3"/>
    <w:rsid w:val="00416BF7"/>
    <w:rsid w:val="004354F7"/>
    <w:rsid w:val="0043759D"/>
    <w:rsid w:val="0046299C"/>
    <w:rsid w:val="00474B1E"/>
    <w:rsid w:val="004C2968"/>
    <w:rsid w:val="004C4B2F"/>
    <w:rsid w:val="004C65C4"/>
    <w:rsid w:val="004D2843"/>
    <w:rsid w:val="004D4ED6"/>
    <w:rsid w:val="004E0D33"/>
    <w:rsid w:val="004F60C6"/>
    <w:rsid w:val="0050075C"/>
    <w:rsid w:val="005209C8"/>
    <w:rsid w:val="00534BB7"/>
    <w:rsid w:val="00552EB1"/>
    <w:rsid w:val="005677D5"/>
    <w:rsid w:val="00591925"/>
    <w:rsid w:val="005938FD"/>
    <w:rsid w:val="005957D6"/>
    <w:rsid w:val="005B076A"/>
    <w:rsid w:val="005B23C1"/>
    <w:rsid w:val="005C3C60"/>
    <w:rsid w:val="005E2366"/>
    <w:rsid w:val="005F564F"/>
    <w:rsid w:val="00611402"/>
    <w:rsid w:val="00612794"/>
    <w:rsid w:val="00612EA8"/>
    <w:rsid w:val="00636FA1"/>
    <w:rsid w:val="0063781B"/>
    <w:rsid w:val="00645923"/>
    <w:rsid w:val="00660381"/>
    <w:rsid w:val="006646AB"/>
    <w:rsid w:val="00672A48"/>
    <w:rsid w:val="006814FE"/>
    <w:rsid w:val="00684109"/>
    <w:rsid w:val="0069227A"/>
    <w:rsid w:val="006A10DC"/>
    <w:rsid w:val="006C03BC"/>
    <w:rsid w:val="006C3009"/>
    <w:rsid w:val="006C755F"/>
    <w:rsid w:val="006E0D75"/>
    <w:rsid w:val="006E2900"/>
    <w:rsid w:val="006F3CAD"/>
    <w:rsid w:val="00707020"/>
    <w:rsid w:val="0071000D"/>
    <w:rsid w:val="00710FE7"/>
    <w:rsid w:val="00750E2E"/>
    <w:rsid w:val="00751E83"/>
    <w:rsid w:val="00754381"/>
    <w:rsid w:val="00761F19"/>
    <w:rsid w:val="00763F55"/>
    <w:rsid w:val="00776CE2"/>
    <w:rsid w:val="007C047D"/>
    <w:rsid w:val="007E7676"/>
    <w:rsid w:val="007F3A83"/>
    <w:rsid w:val="007F617D"/>
    <w:rsid w:val="008466B0"/>
    <w:rsid w:val="00883C0B"/>
    <w:rsid w:val="0088652A"/>
    <w:rsid w:val="0089213C"/>
    <w:rsid w:val="008C53F5"/>
    <w:rsid w:val="008C605F"/>
    <w:rsid w:val="008F4835"/>
    <w:rsid w:val="00900C9E"/>
    <w:rsid w:val="00903275"/>
    <w:rsid w:val="0090455D"/>
    <w:rsid w:val="009334F2"/>
    <w:rsid w:val="00937FB0"/>
    <w:rsid w:val="0095239A"/>
    <w:rsid w:val="00952512"/>
    <w:rsid w:val="00960D9C"/>
    <w:rsid w:val="00961563"/>
    <w:rsid w:val="00962BBC"/>
    <w:rsid w:val="009D4023"/>
    <w:rsid w:val="009D6F94"/>
    <w:rsid w:val="009E7DEC"/>
    <w:rsid w:val="009F009F"/>
    <w:rsid w:val="009F0D91"/>
    <w:rsid w:val="009F680D"/>
    <w:rsid w:val="00A13B6C"/>
    <w:rsid w:val="00A2511B"/>
    <w:rsid w:val="00A25D63"/>
    <w:rsid w:val="00A4017D"/>
    <w:rsid w:val="00A41D39"/>
    <w:rsid w:val="00A57F3F"/>
    <w:rsid w:val="00A602DC"/>
    <w:rsid w:val="00A6441F"/>
    <w:rsid w:val="00A66919"/>
    <w:rsid w:val="00A90066"/>
    <w:rsid w:val="00A91BBB"/>
    <w:rsid w:val="00A947D5"/>
    <w:rsid w:val="00AA1B43"/>
    <w:rsid w:val="00AA5384"/>
    <w:rsid w:val="00AE65FB"/>
    <w:rsid w:val="00AF05F9"/>
    <w:rsid w:val="00B042F5"/>
    <w:rsid w:val="00B14066"/>
    <w:rsid w:val="00B74683"/>
    <w:rsid w:val="00B752F1"/>
    <w:rsid w:val="00B87D6E"/>
    <w:rsid w:val="00BB21C1"/>
    <w:rsid w:val="00BE0CFA"/>
    <w:rsid w:val="00BF76A9"/>
    <w:rsid w:val="00C03AEB"/>
    <w:rsid w:val="00C07C41"/>
    <w:rsid w:val="00C2188D"/>
    <w:rsid w:val="00C26886"/>
    <w:rsid w:val="00C3501A"/>
    <w:rsid w:val="00C358F8"/>
    <w:rsid w:val="00C713E6"/>
    <w:rsid w:val="00C923E4"/>
    <w:rsid w:val="00C9632E"/>
    <w:rsid w:val="00CA0CE6"/>
    <w:rsid w:val="00CA478B"/>
    <w:rsid w:val="00CC1FF1"/>
    <w:rsid w:val="00CC6444"/>
    <w:rsid w:val="00CD7C88"/>
    <w:rsid w:val="00CF0004"/>
    <w:rsid w:val="00CF227D"/>
    <w:rsid w:val="00D02374"/>
    <w:rsid w:val="00D0624F"/>
    <w:rsid w:val="00D0768C"/>
    <w:rsid w:val="00D20588"/>
    <w:rsid w:val="00D24B43"/>
    <w:rsid w:val="00D25595"/>
    <w:rsid w:val="00D311DB"/>
    <w:rsid w:val="00D3213D"/>
    <w:rsid w:val="00D32C37"/>
    <w:rsid w:val="00D34638"/>
    <w:rsid w:val="00D449E9"/>
    <w:rsid w:val="00D449F5"/>
    <w:rsid w:val="00D519DE"/>
    <w:rsid w:val="00D77477"/>
    <w:rsid w:val="00DA4730"/>
    <w:rsid w:val="00DB0ED5"/>
    <w:rsid w:val="00DC3DB1"/>
    <w:rsid w:val="00DD0ED3"/>
    <w:rsid w:val="00DD45E2"/>
    <w:rsid w:val="00E11152"/>
    <w:rsid w:val="00E14183"/>
    <w:rsid w:val="00E14743"/>
    <w:rsid w:val="00E408F0"/>
    <w:rsid w:val="00E431BE"/>
    <w:rsid w:val="00E565D1"/>
    <w:rsid w:val="00E64595"/>
    <w:rsid w:val="00E724FB"/>
    <w:rsid w:val="00EB3500"/>
    <w:rsid w:val="00EC386D"/>
    <w:rsid w:val="00EC6C49"/>
    <w:rsid w:val="00ED4264"/>
    <w:rsid w:val="00EE47F7"/>
    <w:rsid w:val="00F002C2"/>
    <w:rsid w:val="00F07EC8"/>
    <w:rsid w:val="00F12D8A"/>
    <w:rsid w:val="00F16328"/>
    <w:rsid w:val="00F163C8"/>
    <w:rsid w:val="00F16584"/>
    <w:rsid w:val="00F27130"/>
    <w:rsid w:val="00F310F5"/>
    <w:rsid w:val="00F621D9"/>
    <w:rsid w:val="00F63AC2"/>
    <w:rsid w:val="00F65F86"/>
    <w:rsid w:val="00F76BE9"/>
    <w:rsid w:val="00F859C8"/>
    <w:rsid w:val="00FA485E"/>
    <w:rsid w:val="00FB22C8"/>
    <w:rsid w:val="00FB6DE5"/>
    <w:rsid w:val="00FB717A"/>
    <w:rsid w:val="00FE3AEA"/>
    <w:rsid w:val="00FF72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A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61B"/>
    <w:rPr>
      <w:rFonts w:ascii="Trebuchet MS" w:hAnsi="Trebuchet M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2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61B"/>
  </w:style>
  <w:style w:type="paragraph" w:styleId="Footer">
    <w:name w:val="footer"/>
    <w:basedOn w:val="Normal"/>
    <w:link w:val="FooterChar"/>
    <w:uiPriority w:val="99"/>
    <w:unhideWhenUsed/>
    <w:rsid w:val="0016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61B"/>
  </w:style>
  <w:style w:type="paragraph" w:customStyle="1" w:styleId="Instituie">
    <w:name w:val="Instituție"/>
    <w:basedOn w:val="Normal"/>
    <w:link w:val="InstituieChar"/>
    <w:qFormat/>
    <w:rsid w:val="0016561B"/>
    <w:rPr>
      <w:rFonts w:ascii="Trajan Pro" w:hAnsi="Trajan Pro"/>
      <w:sz w:val="32"/>
      <w:szCs w:val="32"/>
    </w:rPr>
  </w:style>
  <w:style w:type="paragraph" w:styleId="NormalWeb">
    <w:name w:val="Normal (Web)"/>
    <w:basedOn w:val="Normal"/>
    <w:uiPriority w:val="99"/>
    <w:unhideWhenUsed/>
    <w:rsid w:val="00067681"/>
    <w:pPr>
      <w:spacing w:before="100" w:beforeAutospacing="1" w:after="100" w:afterAutospacing="1" w:line="240" w:lineRule="auto"/>
    </w:pPr>
    <w:rPr>
      <w:rFonts w:ascii="Times New Roman" w:eastAsia="Times New Roman" w:hAnsi="Times New Roman" w:cs="Times New Roman"/>
      <w:lang w:val="en-US"/>
    </w:rPr>
  </w:style>
  <w:style w:type="character" w:customStyle="1" w:styleId="InstituieChar">
    <w:name w:val="Instituție Char"/>
    <w:basedOn w:val="DefaultParagraphFont"/>
    <w:link w:val="Instituie"/>
    <w:rsid w:val="0016561B"/>
    <w:rPr>
      <w:rFonts w:ascii="Trajan Pro" w:hAnsi="Trajan Pro"/>
      <w:sz w:val="32"/>
      <w:szCs w:val="32"/>
      <w:lang w:val="ro-RO"/>
    </w:rPr>
  </w:style>
  <w:style w:type="character" w:styleId="Hyperlink">
    <w:name w:val="Hyperlink"/>
    <w:basedOn w:val="DefaultParagraphFont"/>
    <w:uiPriority w:val="99"/>
    <w:unhideWhenUsed/>
    <w:rsid w:val="00660381"/>
    <w:rPr>
      <w:color w:val="0563C1" w:themeColor="hyperlink"/>
      <w:u w:val="single"/>
    </w:rPr>
  </w:style>
  <w:style w:type="character" w:customStyle="1" w:styleId="UnresolvedMention1">
    <w:name w:val="Unresolved Mention1"/>
    <w:basedOn w:val="DefaultParagraphFont"/>
    <w:uiPriority w:val="99"/>
    <w:semiHidden/>
    <w:unhideWhenUsed/>
    <w:rsid w:val="00660381"/>
    <w:rPr>
      <w:color w:val="605E5C"/>
      <w:shd w:val="clear" w:color="auto" w:fill="E1DFDD"/>
    </w:rPr>
  </w:style>
  <w:style w:type="character" w:styleId="Strong">
    <w:name w:val="Strong"/>
    <w:basedOn w:val="DefaultParagraphFont"/>
    <w:uiPriority w:val="22"/>
    <w:qFormat/>
    <w:rsid w:val="00591925"/>
    <w:rPr>
      <w:b/>
      <w:bCs/>
    </w:rPr>
  </w:style>
  <w:style w:type="paragraph" w:styleId="ListParagraph">
    <w:name w:val="List Paragraph"/>
    <w:basedOn w:val="Normal"/>
    <w:uiPriority w:val="34"/>
    <w:qFormat/>
    <w:rsid w:val="00534BB7"/>
    <w:pPr>
      <w:spacing w:after="120" w:line="276" w:lineRule="auto"/>
      <w:ind w:left="720"/>
      <w:jc w:val="both"/>
    </w:pPr>
    <w:rPr>
      <w:rFonts w:eastAsia="MS Mincho" w:cs="Trebuchet MS"/>
      <w:sz w:val="22"/>
      <w:szCs w:val="22"/>
      <w:lang w:val="en-US"/>
    </w:rPr>
  </w:style>
  <w:style w:type="paragraph" w:customStyle="1" w:styleId="CM1">
    <w:name w:val="CM1"/>
    <w:basedOn w:val="Normal"/>
    <w:next w:val="Normal"/>
    <w:uiPriority w:val="99"/>
    <w:rsid w:val="00C923E4"/>
    <w:pPr>
      <w:autoSpaceDE w:val="0"/>
      <w:autoSpaceDN w:val="0"/>
      <w:adjustRightInd w:val="0"/>
      <w:spacing w:after="0" w:line="240" w:lineRule="auto"/>
    </w:pPr>
    <w:rPr>
      <w:rFonts w:ascii="EUAlbertina" w:hAnsi="EUAlbertina"/>
    </w:rPr>
  </w:style>
  <w:style w:type="paragraph" w:customStyle="1" w:styleId="CM3">
    <w:name w:val="CM3"/>
    <w:basedOn w:val="Normal"/>
    <w:next w:val="Normal"/>
    <w:uiPriority w:val="99"/>
    <w:rsid w:val="00C923E4"/>
    <w:pPr>
      <w:autoSpaceDE w:val="0"/>
      <w:autoSpaceDN w:val="0"/>
      <w:adjustRightInd w:val="0"/>
      <w:spacing w:after="0" w:line="240" w:lineRule="auto"/>
    </w:pPr>
    <w:rPr>
      <w:rFonts w:ascii="EUAlbertina" w:hAnsi="EUAlbertina"/>
    </w:rPr>
  </w:style>
  <w:style w:type="paragraph" w:styleId="BalloonText">
    <w:name w:val="Balloon Text"/>
    <w:basedOn w:val="Normal"/>
    <w:link w:val="BalloonTextChar"/>
    <w:uiPriority w:val="99"/>
    <w:semiHidden/>
    <w:unhideWhenUsed/>
    <w:rsid w:val="000D4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60"/>
    <w:rPr>
      <w:rFonts w:ascii="Tahoma" w:hAnsi="Tahoma" w:cs="Tahoma"/>
      <w:sz w:val="16"/>
      <w:szCs w:val="16"/>
      <w:lang w:val="ro-RO"/>
    </w:rPr>
  </w:style>
  <w:style w:type="table" w:customStyle="1" w:styleId="GrilTabel1">
    <w:name w:val="Grilă Tabel1"/>
    <w:basedOn w:val="TableNormal"/>
    <w:next w:val="TableGrid"/>
    <w:uiPriority w:val="99"/>
    <w:rsid w:val="0095239A"/>
    <w:pPr>
      <w:spacing w:after="0" w:line="240" w:lineRule="auto"/>
    </w:pPr>
    <w:rPr>
      <w:rFonts w:ascii="Cambria" w:eastAsia="MS Mincho"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03529">
      <w:bodyDiv w:val="1"/>
      <w:marLeft w:val="0"/>
      <w:marRight w:val="0"/>
      <w:marTop w:val="0"/>
      <w:marBottom w:val="0"/>
      <w:divBdr>
        <w:top w:val="none" w:sz="0" w:space="0" w:color="auto"/>
        <w:left w:val="none" w:sz="0" w:space="0" w:color="auto"/>
        <w:bottom w:val="none" w:sz="0" w:space="0" w:color="auto"/>
        <w:right w:val="none" w:sz="0" w:space="0" w:color="auto"/>
      </w:divBdr>
    </w:div>
    <w:div w:id="195012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6077</Characters>
  <Application>Microsoft Office Word</Application>
  <DocSecurity>0</DocSecurity>
  <Lines>50</Lines>
  <Paragraphs>14</Paragraphs>
  <ScaleCrop>false</ScaleCrop>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2022-07-26T09:09:00Z</dcterms:created>
  <dcterms:modified xsi:type="dcterms:W3CDTF">2022-07-26T09:09:00Z</dcterms:modified>
</cp:coreProperties>
</file>