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A00B" w14:textId="77777777" w:rsidR="00957DB6" w:rsidRPr="002A3C19" w:rsidRDefault="00957DB6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ORDIN nr.</w:t>
      </w:r>
    </w:p>
    <w:p w14:paraId="585492DF" w14:textId="7C19FA77" w:rsidR="00957DB6" w:rsidRPr="002A3C19" w:rsidRDefault="00957DB6" w:rsidP="00AE1131">
      <w:pPr>
        <w:spacing w:line="360" w:lineRule="auto"/>
        <w:jc w:val="center"/>
        <w:rPr>
          <w:bCs/>
          <w:color w:val="000000" w:themeColor="text1"/>
          <w:kern w:val="32"/>
          <w:sz w:val="24"/>
          <w:szCs w:val="24"/>
          <w:lang w:val="ro-RO" w:eastAsia="zh-CN"/>
        </w:rPr>
      </w:pP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>pentru aprobare</w:t>
      </w:r>
      <w:r w:rsidRPr="002A3C19">
        <w:rPr>
          <w:b/>
          <w:bCs/>
          <w:color w:val="000000" w:themeColor="text1"/>
          <w:kern w:val="32"/>
          <w:sz w:val="24"/>
          <w:szCs w:val="24"/>
          <w:lang w:val="ro-RO" w:eastAsia="zh-CN"/>
        </w:rPr>
        <w:t xml:space="preserve">a </w:t>
      </w:r>
      <w:bookmarkStart w:id="0" w:name="_Hlk49256215"/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 xml:space="preserve">Regulamentului privind </w:t>
      </w:r>
      <w:r w:rsidR="00935A7C" w:rsidRPr="002A3C19">
        <w:rPr>
          <w:b/>
          <w:bCs/>
          <w:color w:val="000000" w:themeColor="text1"/>
          <w:sz w:val="24"/>
          <w:szCs w:val="24"/>
          <w:lang w:val="ro-RO" w:eastAsia="zh-CN"/>
        </w:rPr>
        <w:t xml:space="preserve">stabilirea </w:t>
      </w: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>informa</w:t>
      </w:r>
      <w:r w:rsidR="002A3C19">
        <w:rPr>
          <w:b/>
          <w:bCs/>
          <w:color w:val="000000" w:themeColor="text1"/>
          <w:sz w:val="24"/>
          <w:szCs w:val="24"/>
          <w:lang w:val="ro-RO" w:eastAsia="zh-CN"/>
        </w:rPr>
        <w:t>ț</w:t>
      </w: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>iil</w:t>
      </w:r>
      <w:r w:rsidR="00935A7C" w:rsidRPr="002A3C19">
        <w:rPr>
          <w:b/>
          <w:bCs/>
          <w:color w:val="000000" w:themeColor="text1"/>
          <w:sz w:val="24"/>
          <w:szCs w:val="24"/>
          <w:lang w:val="ro-RO" w:eastAsia="zh-CN"/>
        </w:rPr>
        <w:t>or</w:t>
      </w: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 xml:space="preserve"> confiden</w:t>
      </w:r>
      <w:r w:rsidR="002A3C19">
        <w:rPr>
          <w:b/>
          <w:bCs/>
          <w:color w:val="000000" w:themeColor="text1"/>
          <w:sz w:val="24"/>
          <w:szCs w:val="24"/>
          <w:lang w:val="ro-RO" w:eastAsia="zh-CN"/>
        </w:rPr>
        <w:t>ț</w:t>
      </w: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>iale la nivelul Autorită</w:t>
      </w:r>
      <w:r w:rsidR="002A3C19">
        <w:rPr>
          <w:b/>
          <w:bCs/>
          <w:color w:val="000000" w:themeColor="text1"/>
          <w:sz w:val="24"/>
          <w:szCs w:val="24"/>
          <w:lang w:val="ro-RO" w:eastAsia="zh-CN"/>
        </w:rPr>
        <w:t>ț</w:t>
      </w: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>ii Na</w:t>
      </w:r>
      <w:r w:rsidR="002A3C19">
        <w:rPr>
          <w:b/>
          <w:bCs/>
          <w:color w:val="000000" w:themeColor="text1"/>
          <w:sz w:val="24"/>
          <w:szCs w:val="24"/>
          <w:lang w:val="ro-RO" w:eastAsia="zh-CN"/>
        </w:rPr>
        <w:t>ț</w:t>
      </w:r>
      <w:r w:rsidRPr="002A3C19">
        <w:rPr>
          <w:b/>
          <w:bCs/>
          <w:color w:val="000000" w:themeColor="text1"/>
          <w:sz w:val="24"/>
          <w:szCs w:val="24"/>
          <w:lang w:val="ro-RO" w:eastAsia="zh-CN"/>
        </w:rPr>
        <w:t>ionale de Reglementare în Domeniul Energiei</w:t>
      </w:r>
      <w:bookmarkEnd w:id="0"/>
    </w:p>
    <w:p w14:paraId="3F935CCA" w14:textId="77777777" w:rsidR="00957DB6" w:rsidRPr="002A3C19" w:rsidRDefault="00957DB6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135B7AD1" w14:textId="70A93403" w:rsidR="00957DB6" w:rsidRPr="002A3C19" w:rsidRDefault="00957DB6" w:rsidP="00AE113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>Având în vedere prevederile art. 7 alin. (4) din Ordonan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a de urgen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 xml:space="preserve">ă a Guvernului nr. 33/2007 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 xml:space="preserve">privind organizarea </w:t>
      </w:r>
      <w:r w:rsidR="002A3C19">
        <w:rPr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>i func</w:t>
      </w:r>
      <w:r w:rsidR="002A3C19">
        <w:rPr>
          <w:color w:val="000000" w:themeColor="text1"/>
          <w:sz w:val="24"/>
          <w:szCs w:val="24"/>
          <w:shd w:val="clear" w:color="auto" w:fill="FFFFFF"/>
          <w:lang w:val="ro-RO"/>
        </w:rPr>
        <w:t>ț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>ionarea Autorită</w:t>
      </w:r>
      <w:r w:rsidR="002A3C19">
        <w:rPr>
          <w:color w:val="000000" w:themeColor="text1"/>
          <w:sz w:val="24"/>
          <w:szCs w:val="24"/>
          <w:shd w:val="clear" w:color="auto" w:fill="FFFFFF"/>
          <w:lang w:val="ro-RO"/>
        </w:rPr>
        <w:t>ț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>ii Na</w:t>
      </w:r>
      <w:r w:rsidR="002A3C19">
        <w:rPr>
          <w:color w:val="000000" w:themeColor="text1"/>
          <w:sz w:val="24"/>
          <w:szCs w:val="24"/>
          <w:shd w:val="clear" w:color="auto" w:fill="FFFFFF"/>
          <w:lang w:val="ro-RO"/>
        </w:rPr>
        <w:t>ț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>ionale de Reglementare în Domeniul Energiei,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 xml:space="preserve">aprobată cu modificări </w:t>
      </w:r>
      <w:r w:rsidR="002A3C19">
        <w:rPr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>i completări prin Legea </w:t>
      </w:r>
      <w:hyperlink r:id="rId7" w:tgtFrame="_blank" w:history="1">
        <w:r w:rsidRPr="002A3C19">
          <w:rPr>
            <w:color w:val="000000" w:themeColor="text1"/>
            <w:sz w:val="24"/>
            <w:szCs w:val="24"/>
            <w:shd w:val="clear" w:color="auto" w:fill="FFFFFF"/>
            <w:lang w:val="ro-RO"/>
          </w:rPr>
          <w:t>nr. 160/2012</w:t>
        </w:r>
      </w:hyperlink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 xml:space="preserve">, cu modificările </w:t>
      </w:r>
      <w:r w:rsidR="002A3C19">
        <w:rPr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Pr="002A3C19">
        <w:rPr>
          <w:color w:val="000000" w:themeColor="text1"/>
          <w:sz w:val="24"/>
          <w:szCs w:val="24"/>
          <w:shd w:val="clear" w:color="auto" w:fill="FFFFFF"/>
          <w:lang w:val="ro-RO"/>
        </w:rPr>
        <w:t>i completările ulterioare,</w:t>
      </w:r>
    </w:p>
    <w:p w14:paraId="378357B4" w14:textId="0F006A0D" w:rsidR="00957DB6" w:rsidRPr="002A3C19" w:rsidRDefault="00957DB6" w:rsidP="00AE113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>în temeiul dispozi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iilor art. 5 alin. (1) lit. f) din Ordonan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a de urgen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ă a Guvernului nr. 33/2007</w:t>
      </w:r>
      <w:r w:rsidRPr="002A3C19">
        <w:rPr>
          <w:rFonts w:eastAsia="Batang"/>
          <w:color w:val="000000" w:themeColor="text1"/>
          <w:sz w:val="24"/>
          <w:szCs w:val="24"/>
          <w:lang w:val="ro-RO" w:eastAsia="ko-KR"/>
        </w:rPr>
        <w:t xml:space="preserve">, </w:t>
      </w:r>
      <w:r w:rsidRPr="002A3C19">
        <w:rPr>
          <w:color w:val="000000" w:themeColor="text1"/>
          <w:sz w:val="24"/>
          <w:szCs w:val="24"/>
          <w:lang w:val="ro-RO"/>
        </w:rPr>
        <w:t xml:space="preserve">aprobată cu modificări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 xml:space="preserve">i completări prin Legea nr. 160/2012, cu modificările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 xml:space="preserve">i completările ulterioare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 xml:space="preserve">i al art. 4 alin. (4) din Regulamentul privind organizarea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>i func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ionarea Autorită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 Na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ionale de Reglementare în Domeniul Energiei, aprobat prin Ordinul pre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>edintelui Autorită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 Na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ionale de Reglementare în Domeniul Energiei nr. 3/2020, cu completările ulterioare,</w:t>
      </w:r>
    </w:p>
    <w:p w14:paraId="44C85B93" w14:textId="77777777" w:rsidR="00957DB6" w:rsidRPr="002A3C19" w:rsidRDefault="00957DB6" w:rsidP="00AE113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ro-RO"/>
        </w:rPr>
      </w:pPr>
    </w:p>
    <w:p w14:paraId="556DDF4E" w14:textId="472743A1" w:rsidR="00957DB6" w:rsidRPr="002A3C19" w:rsidRDefault="00957DB6" w:rsidP="00AE1131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pre</w:t>
      </w:r>
      <w:r w:rsidR="002A3C19">
        <w:rPr>
          <w:b/>
          <w:color w:val="000000" w:themeColor="text1"/>
          <w:sz w:val="24"/>
          <w:szCs w:val="24"/>
          <w:lang w:val="ro-RO"/>
        </w:rPr>
        <w:t>ș</w:t>
      </w:r>
      <w:r w:rsidRPr="002A3C19">
        <w:rPr>
          <w:b/>
          <w:color w:val="000000" w:themeColor="text1"/>
          <w:sz w:val="24"/>
          <w:szCs w:val="24"/>
          <w:lang w:val="ro-RO"/>
        </w:rPr>
        <w:t>edintele Autorită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ii Na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ionale de Reglementare în Domeniul Energiei emite următorul ordin:</w:t>
      </w:r>
      <w:r w:rsidRPr="002A3C19">
        <w:rPr>
          <w:b/>
          <w:color w:val="000000" w:themeColor="text1"/>
          <w:sz w:val="24"/>
          <w:szCs w:val="24"/>
          <w:lang w:val="ro-RO"/>
        </w:rPr>
        <w:tab/>
      </w:r>
      <w:r w:rsidRPr="002A3C19">
        <w:rPr>
          <w:b/>
          <w:color w:val="000000" w:themeColor="text1"/>
          <w:sz w:val="24"/>
          <w:szCs w:val="24"/>
          <w:lang w:val="ro-RO"/>
        </w:rPr>
        <w:tab/>
      </w:r>
    </w:p>
    <w:p w14:paraId="731CA96C" w14:textId="77777777" w:rsidR="00957DB6" w:rsidRPr="002A3C19" w:rsidRDefault="00957DB6" w:rsidP="00AE1131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ab/>
      </w:r>
    </w:p>
    <w:p w14:paraId="2D9C7844" w14:textId="08CBC12C" w:rsidR="00957DB6" w:rsidRPr="002A3C19" w:rsidRDefault="00957DB6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bCs/>
          <w:color w:val="000000" w:themeColor="text1"/>
          <w:sz w:val="24"/>
          <w:szCs w:val="24"/>
          <w:lang w:val="ro-RO"/>
        </w:rPr>
        <w:t xml:space="preserve">Art. 1. – </w:t>
      </w:r>
      <w:r w:rsidRPr="002A3C19">
        <w:rPr>
          <w:color w:val="000000" w:themeColor="text1"/>
          <w:sz w:val="24"/>
          <w:szCs w:val="24"/>
          <w:lang w:val="ro-RO"/>
        </w:rPr>
        <w:t xml:space="preserve">Se aprobă Regulamentul privind </w:t>
      </w:r>
      <w:r w:rsidR="00935A7C" w:rsidRPr="002A3C19">
        <w:rPr>
          <w:color w:val="000000" w:themeColor="text1"/>
          <w:sz w:val="24"/>
          <w:szCs w:val="24"/>
          <w:lang w:val="ro-RO"/>
        </w:rPr>
        <w:t xml:space="preserve">stabilirea </w:t>
      </w:r>
      <w:r w:rsidRPr="002A3C19">
        <w:rPr>
          <w:color w:val="000000" w:themeColor="text1"/>
          <w:sz w:val="24"/>
          <w:szCs w:val="24"/>
          <w:lang w:val="ro-RO"/>
        </w:rPr>
        <w:t>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iil</w:t>
      </w:r>
      <w:r w:rsidR="00935A7C" w:rsidRPr="002A3C19">
        <w:rPr>
          <w:color w:val="000000" w:themeColor="text1"/>
          <w:sz w:val="24"/>
          <w:szCs w:val="24"/>
          <w:lang w:val="ro-RO"/>
        </w:rPr>
        <w:t xml:space="preserve">or </w:t>
      </w:r>
      <w:r w:rsidRPr="002A3C19">
        <w:rPr>
          <w:color w:val="000000" w:themeColor="text1"/>
          <w:sz w:val="24"/>
          <w:szCs w:val="24"/>
          <w:lang w:val="ro-RO"/>
        </w:rPr>
        <w:t xml:space="preserve">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iale  la nivelul Autorită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 Na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ionale de Reglementare în Domeniul Energiei, prevăzut în anexa care face parte integrantă din prezentul ordin.</w:t>
      </w:r>
    </w:p>
    <w:p w14:paraId="66BE8F0F" w14:textId="02D5AFF4" w:rsidR="00957DB6" w:rsidRPr="002A3C19" w:rsidRDefault="00957DB6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bCs/>
          <w:color w:val="000000" w:themeColor="text1"/>
          <w:sz w:val="24"/>
          <w:szCs w:val="24"/>
          <w:lang w:val="ro-RO"/>
        </w:rPr>
        <w:t>Art. 2. –</w:t>
      </w:r>
      <w:r w:rsidR="00935A7C" w:rsidRPr="002A3C19">
        <w:rPr>
          <w:color w:val="000000" w:themeColor="text1"/>
          <w:sz w:val="24"/>
          <w:szCs w:val="24"/>
          <w:lang w:val="ro-RO"/>
        </w:rPr>
        <w:t>O</w:t>
      </w:r>
      <w:r w:rsidR="001D5BB9" w:rsidRPr="002A3C19">
        <w:rPr>
          <w:color w:val="000000" w:themeColor="text1"/>
          <w:sz w:val="24"/>
          <w:szCs w:val="24"/>
          <w:lang w:val="ro-RO"/>
        </w:rPr>
        <w:t>peratorii economici</w:t>
      </w:r>
      <w:r w:rsidRPr="002A3C19">
        <w:rPr>
          <w:color w:val="000000" w:themeColor="text1"/>
          <w:sz w:val="24"/>
          <w:szCs w:val="24"/>
          <w:lang w:val="ro-RO"/>
        </w:rPr>
        <w:t xml:space="preserve"> duc la îndeplinire</w:t>
      </w:r>
      <w:r w:rsidR="009C52A1" w:rsidRPr="002A3C19">
        <w:rPr>
          <w:color w:val="000000" w:themeColor="text1"/>
          <w:sz w:val="24"/>
          <w:szCs w:val="24"/>
          <w:lang w:val="ro-RO"/>
        </w:rPr>
        <w:t xml:space="preserve"> prevederile prezentului ordin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5E0319" w:rsidRPr="002A3C19">
        <w:rPr>
          <w:color w:val="000000" w:themeColor="text1"/>
          <w:sz w:val="24"/>
          <w:szCs w:val="24"/>
          <w:lang w:val="ro-RO"/>
        </w:rPr>
        <w:t xml:space="preserve">iar </w:t>
      </w:r>
      <w:r w:rsidR="009C52A1" w:rsidRPr="002A3C19">
        <w:rPr>
          <w:color w:val="000000" w:themeColor="text1"/>
          <w:sz w:val="24"/>
          <w:szCs w:val="24"/>
          <w:lang w:val="ro-RO"/>
        </w:rPr>
        <w:t xml:space="preserve">compartimentele de specialitate din cadrul ANRE </w:t>
      </w:r>
      <w:r w:rsidRPr="002A3C19">
        <w:rPr>
          <w:color w:val="000000" w:themeColor="text1"/>
          <w:sz w:val="24"/>
          <w:szCs w:val="24"/>
          <w:lang w:val="ro-RO"/>
        </w:rPr>
        <w:t>urmăre</w:t>
      </w:r>
      <w:r w:rsidR="00EF31A5" w:rsidRPr="002A3C19">
        <w:rPr>
          <w:color w:val="000000" w:themeColor="text1"/>
          <w:sz w:val="24"/>
          <w:szCs w:val="24"/>
          <w:lang w:val="ro-RO"/>
        </w:rPr>
        <w:t>sc</w:t>
      </w:r>
      <w:r w:rsidRPr="002A3C19">
        <w:rPr>
          <w:color w:val="000000" w:themeColor="text1"/>
          <w:sz w:val="24"/>
          <w:szCs w:val="24"/>
          <w:lang w:val="ro-RO"/>
        </w:rPr>
        <w:t xml:space="preserve"> respectarea prevederilor </w:t>
      </w:r>
      <w:r w:rsidR="00EF31A5" w:rsidRPr="002A3C19">
        <w:rPr>
          <w:color w:val="000000" w:themeColor="text1"/>
          <w:sz w:val="24"/>
          <w:szCs w:val="24"/>
          <w:lang w:val="ro-RO"/>
        </w:rPr>
        <w:t>acestuia.</w:t>
      </w:r>
    </w:p>
    <w:p w14:paraId="378321CB" w14:textId="5705E2B9" w:rsidR="00957DB6" w:rsidRPr="002A3C19" w:rsidRDefault="00957DB6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Art. 3</w:t>
      </w:r>
      <w:r w:rsidRPr="002A3C19">
        <w:rPr>
          <w:color w:val="000000" w:themeColor="text1"/>
          <w:sz w:val="24"/>
          <w:szCs w:val="24"/>
          <w:lang w:val="ro-RO"/>
        </w:rPr>
        <w:t xml:space="preserve">. – Nerespectarea prevederilor prezentului ordin </w:t>
      </w:r>
      <w:r w:rsidR="005E0319" w:rsidRPr="002A3C19">
        <w:rPr>
          <w:color w:val="000000" w:themeColor="text1"/>
          <w:sz w:val="24"/>
          <w:szCs w:val="24"/>
          <w:lang w:val="ro-RO"/>
        </w:rPr>
        <w:t xml:space="preserve">de către </w:t>
      </w:r>
      <w:r w:rsidR="00935A7C" w:rsidRPr="002A3C19">
        <w:rPr>
          <w:color w:val="000000" w:themeColor="text1"/>
          <w:sz w:val="24"/>
          <w:szCs w:val="24"/>
          <w:lang w:val="ro-RO"/>
        </w:rPr>
        <w:t>operatorii economici</w:t>
      </w:r>
      <w:r w:rsidR="005E0319"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Pr="002A3C19">
        <w:rPr>
          <w:color w:val="000000" w:themeColor="text1"/>
          <w:sz w:val="24"/>
          <w:szCs w:val="24"/>
          <w:lang w:val="ro-RO"/>
        </w:rPr>
        <w:t>atrage răspunderea  în condi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iile legii.</w:t>
      </w:r>
    </w:p>
    <w:p w14:paraId="69F28B98" w14:textId="17D7A601" w:rsidR="00957DB6" w:rsidRPr="002A3C19" w:rsidRDefault="00625F8D" w:rsidP="00AE1131">
      <w:pPr>
        <w:spacing w:line="360" w:lineRule="auto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Art. 4</w:t>
      </w:r>
      <w:r w:rsidR="00957DB6" w:rsidRPr="002A3C19">
        <w:rPr>
          <w:b/>
          <w:color w:val="000000" w:themeColor="text1"/>
          <w:sz w:val="24"/>
          <w:szCs w:val="24"/>
          <w:lang w:val="ro-RO"/>
        </w:rPr>
        <w:t>.</w:t>
      </w:r>
      <w:r w:rsidR="00957DB6" w:rsidRPr="002A3C19">
        <w:rPr>
          <w:color w:val="000000" w:themeColor="text1"/>
          <w:sz w:val="24"/>
          <w:szCs w:val="24"/>
          <w:lang w:val="ro-RO"/>
        </w:rPr>
        <w:t xml:space="preserve"> – Prezentul ordin se publică </w:t>
      </w:r>
      <w:r w:rsidR="00935A7C" w:rsidRPr="002A3C19">
        <w:rPr>
          <w:color w:val="000000" w:themeColor="text1"/>
          <w:sz w:val="24"/>
          <w:szCs w:val="24"/>
          <w:lang w:val="ro-RO"/>
        </w:rPr>
        <w:t>în Monitorul Oficial al României, Partea I</w:t>
      </w:r>
      <w:r w:rsidR="00957DB6" w:rsidRPr="002A3C19">
        <w:rPr>
          <w:color w:val="000000" w:themeColor="text1"/>
          <w:sz w:val="24"/>
          <w:szCs w:val="24"/>
          <w:lang w:val="ro-RO"/>
        </w:rPr>
        <w:t>.</w:t>
      </w:r>
    </w:p>
    <w:p w14:paraId="18E2333E" w14:textId="77777777" w:rsidR="00957DB6" w:rsidRPr="002A3C19" w:rsidRDefault="00957DB6" w:rsidP="00AE1131">
      <w:pPr>
        <w:spacing w:line="360" w:lineRule="auto"/>
        <w:rPr>
          <w:b/>
          <w:color w:val="000000" w:themeColor="text1"/>
          <w:sz w:val="24"/>
          <w:szCs w:val="24"/>
          <w:lang w:val="ro-RO"/>
        </w:rPr>
      </w:pPr>
    </w:p>
    <w:p w14:paraId="38D49004" w14:textId="2E0DD7D2" w:rsidR="00957DB6" w:rsidRPr="002A3C19" w:rsidRDefault="00957DB6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Pre</w:t>
      </w:r>
      <w:r w:rsidR="002A3C19">
        <w:rPr>
          <w:b/>
          <w:color w:val="000000" w:themeColor="text1"/>
          <w:sz w:val="24"/>
          <w:szCs w:val="24"/>
          <w:lang w:val="ro-RO"/>
        </w:rPr>
        <w:t>ș</w:t>
      </w:r>
      <w:r w:rsidRPr="002A3C19">
        <w:rPr>
          <w:b/>
          <w:color w:val="000000" w:themeColor="text1"/>
          <w:sz w:val="24"/>
          <w:szCs w:val="24"/>
          <w:lang w:val="ro-RO"/>
        </w:rPr>
        <w:t>edintele Autorită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ii Na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ionale de Reglementare în Domeniul Energiei</w:t>
      </w:r>
    </w:p>
    <w:p w14:paraId="4DA5AFA9" w14:textId="77777777" w:rsidR="00957DB6" w:rsidRPr="002A3C19" w:rsidRDefault="00957DB6" w:rsidP="00AE1131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</w:p>
    <w:p w14:paraId="6850C7CD" w14:textId="53794689" w:rsidR="00957DB6" w:rsidRPr="002A3C19" w:rsidRDefault="00957DB6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DUMITRU CHIRI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Ă</w:t>
      </w:r>
    </w:p>
    <w:p w14:paraId="7E0DE267" w14:textId="77777777" w:rsidR="00957DB6" w:rsidRPr="002A3C19" w:rsidRDefault="00957DB6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rFonts w:eastAsia="Calibri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</w:t>
      </w:r>
      <w:r w:rsidRPr="002A3C19">
        <w:rPr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</w:t>
      </w:r>
    </w:p>
    <w:p w14:paraId="75B38EF0" w14:textId="77777777" w:rsidR="00957DB6" w:rsidRPr="002A3C19" w:rsidRDefault="00957DB6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0DB4F6DA" w14:textId="77777777" w:rsidR="004653AB" w:rsidRPr="002A3C19" w:rsidRDefault="00957DB6" w:rsidP="00AE1131">
      <w:pPr>
        <w:spacing w:line="360" w:lineRule="auto"/>
        <w:ind w:right="1267"/>
        <w:rPr>
          <w:rFonts w:eastAsia="Calibri"/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                      </w:t>
      </w:r>
      <w:r w:rsidRPr="002A3C19">
        <w:rPr>
          <w:rFonts w:eastAsia="Calibri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</w:t>
      </w:r>
    </w:p>
    <w:p w14:paraId="34804238" w14:textId="76410004" w:rsidR="00957DB6" w:rsidRPr="002A3C19" w:rsidRDefault="004653AB" w:rsidP="006A3762">
      <w:pPr>
        <w:spacing w:line="360" w:lineRule="auto"/>
        <w:ind w:left="5760" w:right="1267" w:firstLine="720"/>
        <w:rPr>
          <w:rFonts w:eastAsia="Calibri"/>
          <w:b/>
          <w:color w:val="000000" w:themeColor="text1"/>
          <w:sz w:val="24"/>
          <w:szCs w:val="24"/>
          <w:lang w:val="ro-RO"/>
        </w:rPr>
      </w:pPr>
      <w:r w:rsidRPr="002A3C19">
        <w:rPr>
          <w:rFonts w:eastAsia="Calibri"/>
          <w:b/>
          <w:color w:val="000000" w:themeColor="text1"/>
          <w:sz w:val="24"/>
          <w:szCs w:val="24"/>
          <w:lang w:val="ro-RO"/>
        </w:rPr>
        <w:t xml:space="preserve">  </w:t>
      </w:r>
    </w:p>
    <w:p w14:paraId="413F0B4E" w14:textId="77777777" w:rsidR="00B260B6" w:rsidRPr="002A3C19" w:rsidRDefault="005D6C31" w:rsidP="00AE1131">
      <w:pPr>
        <w:spacing w:line="360" w:lineRule="auto"/>
        <w:jc w:val="right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lastRenderedPageBreak/>
        <w:t>ANEXĂ</w:t>
      </w:r>
    </w:p>
    <w:p w14:paraId="2AA18ECC" w14:textId="77777777" w:rsidR="00B260B6" w:rsidRPr="002A3C19" w:rsidRDefault="00B260B6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12EFEB53" w14:textId="77777777" w:rsidR="005D6C31" w:rsidRPr="002A3C19" w:rsidRDefault="00434283" w:rsidP="00AE1131">
      <w:pPr>
        <w:pStyle w:val="Datedadoption"/>
        <w:spacing w:before="0"/>
        <w:ind w:left="0"/>
        <w:rPr>
          <w:rFonts w:cs="Times New Roman"/>
          <w:color w:val="000000" w:themeColor="text1"/>
          <w:kern w:val="0"/>
          <w:szCs w:val="24"/>
          <w:lang w:val="ro-RO"/>
        </w:rPr>
      </w:pPr>
      <w:r w:rsidRPr="002A3C19">
        <w:rPr>
          <w:rFonts w:cs="Times New Roman"/>
          <w:color w:val="000000" w:themeColor="text1"/>
          <w:kern w:val="0"/>
          <w:szCs w:val="24"/>
          <w:lang w:val="ro-RO"/>
        </w:rPr>
        <w:t>Regulament</w:t>
      </w:r>
    </w:p>
    <w:p w14:paraId="19238002" w14:textId="23066593" w:rsidR="005C6A3D" w:rsidRPr="002A3C19" w:rsidRDefault="005C6A3D" w:rsidP="00AE1131">
      <w:pPr>
        <w:pStyle w:val="Datedadoption"/>
        <w:spacing w:before="0"/>
        <w:ind w:left="0"/>
        <w:rPr>
          <w:rFonts w:cs="Times New Roman"/>
          <w:b w:val="0"/>
          <w:color w:val="000000" w:themeColor="text1"/>
          <w:szCs w:val="24"/>
          <w:lang w:val="ro-RO"/>
        </w:rPr>
      </w:pPr>
      <w:r w:rsidRPr="002A3C19">
        <w:rPr>
          <w:rFonts w:cs="Times New Roman"/>
          <w:color w:val="000000" w:themeColor="text1"/>
          <w:kern w:val="0"/>
          <w:szCs w:val="24"/>
          <w:lang w:val="ro-RO"/>
        </w:rPr>
        <w:t xml:space="preserve"> privind </w:t>
      </w:r>
      <w:r w:rsidR="00935A7C" w:rsidRPr="002A3C19">
        <w:rPr>
          <w:rFonts w:cs="Times New Roman"/>
          <w:color w:val="000000" w:themeColor="text1"/>
          <w:kern w:val="0"/>
          <w:szCs w:val="24"/>
          <w:lang w:val="ro-RO"/>
        </w:rPr>
        <w:t xml:space="preserve">stabilirea 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>informa</w:t>
      </w:r>
      <w:r w:rsidR="002A3C19">
        <w:rPr>
          <w:rFonts w:cs="Times New Roman"/>
          <w:color w:val="000000" w:themeColor="text1"/>
          <w:kern w:val="0"/>
          <w:szCs w:val="24"/>
          <w:lang w:val="ro-RO"/>
        </w:rPr>
        <w:t>ț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>iil</w:t>
      </w:r>
      <w:r w:rsidR="00935A7C" w:rsidRPr="002A3C19">
        <w:rPr>
          <w:rFonts w:cs="Times New Roman"/>
          <w:color w:val="000000" w:themeColor="text1"/>
          <w:kern w:val="0"/>
          <w:szCs w:val="24"/>
          <w:lang w:val="ro-RO"/>
        </w:rPr>
        <w:t>or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 xml:space="preserve"> confiden</w:t>
      </w:r>
      <w:r w:rsidR="002A3C19">
        <w:rPr>
          <w:rFonts w:cs="Times New Roman"/>
          <w:color w:val="000000" w:themeColor="text1"/>
          <w:kern w:val="0"/>
          <w:szCs w:val="24"/>
          <w:lang w:val="ro-RO"/>
        </w:rPr>
        <w:t>ț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 xml:space="preserve">iale </w:t>
      </w:r>
      <w:r w:rsidR="001630EC" w:rsidRPr="002A3C19">
        <w:rPr>
          <w:rFonts w:cs="Times New Roman"/>
          <w:color w:val="000000" w:themeColor="text1"/>
          <w:kern w:val="0"/>
          <w:szCs w:val="24"/>
          <w:lang w:val="ro-RO"/>
        </w:rPr>
        <w:t>la nivelul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 xml:space="preserve"> Autorită</w:t>
      </w:r>
      <w:r w:rsidR="002A3C19">
        <w:rPr>
          <w:rFonts w:cs="Times New Roman"/>
          <w:color w:val="000000" w:themeColor="text1"/>
          <w:kern w:val="0"/>
          <w:szCs w:val="24"/>
          <w:lang w:val="ro-RO"/>
        </w:rPr>
        <w:t>ț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>ii Na</w:t>
      </w:r>
      <w:r w:rsidR="002A3C19">
        <w:rPr>
          <w:rFonts w:cs="Times New Roman"/>
          <w:color w:val="000000" w:themeColor="text1"/>
          <w:kern w:val="0"/>
          <w:szCs w:val="24"/>
          <w:lang w:val="ro-RO"/>
        </w:rPr>
        <w:t>ț</w:t>
      </w:r>
      <w:r w:rsidRPr="002A3C19">
        <w:rPr>
          <w:rFonts w:cs="Times New Roman"/>
          <w:color w:val="000000" w:themeColor="text1"/>
          <w:kern w:val="0"/>
          <w:szCs w:val="24"/>
          <w:lang w:val="ro-RO"/>
        </w:rPr>
        <w:t>ionale de Reglementare în Domeniul Energiei</w:t>
      </w:r>
    </w:p>
    <w:p w14:paraId="01F290B1" w14:textId="77777777" w:rsidR="005C6A3D" w:rsidRPr="002A3C19" w:rsidRDefault="005C6A3D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51A5801C" w14:textId="77777777" w:rsidR="00434283" w:rsidRPr="002A3C19" w:rsidRDefault="00434283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CAPITOLUL I</w:t>
      </w:r>
    </w:p>
    <w:p w14:paraId="553099A6" w14:textId="7A8B25C7" w:rsidR="00246939" w:rsidRPr="002A3C19" w:rsidRDefault="00434283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Dispozi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ii generale</w:t>
      </w:r>
    </w:p>
    <w:p w14:paraId="4483603A" w14:textId="77777777" w:rsidR="00377622" w:rsidRPr="002A3C19" w:rsidRDefault="00377622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3AC27EE8" w14:textId="62556588" w:rsidR="00FE3C99" w:rsidRPr="002A3C19" w:rsidRDefault="008F3229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1</w:t>
      </w:r>
      <w:r w:rsidRPr="002A3C19">
        <w:rPr>
          <w:b/>
          <w:color w:val="000000" w:themeColor="text1"/>
          <w:sz w:val="24"/>
          <w:szCs w:val="24"/>
          <w:lang w:val="ro-RO"/>
        </w:rPr>
        <w:t>.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Pr="002A3C19">
        <w:rPr>
          <w:b/>
          <w:color w:val="000000" w:themeColor="text1"/>
          <w:sz w:val="24"/>
          <w:szCs w:val="24"/>
          <w:lang w:val="ro-RO"/>
        </w:rPr>
        <w:t xml:space="preserve">– </w:t>
      </w:r>
      <w:r w:rsidRPr="002A3C19">
        <w:rPr>
          <w:color w:val="000000" w:themeColor="text1"/>
          <w:sz w:val="24"/>
          <w:szCs w:val="24"/>
          <w:lang w:val="ro-RO"/>
        </w:rPr>
        <w:t>Prezentul regulament stabile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>te</w:t>
      </w:r>
      <w:r w:rsidR="003450BC" w:rsidRPr="002A3C19">
        <w:rPr>
          <w:color w:val="000000" w:themeColor="text1"/>
          <w:sz w:val="24"/>
          <w:szCs w:val="24"/>
          <w:lang w:val="ro-RO"/>
        </w:rPr>
        <w:t xml:space="preserve"> categoriile de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3450BC" w:rsidRPr="002A3C19">
        <w:rPr>
          <w:color w:val="000000" w:themeColor="text1"/>
          <w:sz w:val="24"/>
          <w:szCs w:val="24"/>
          <w:lang w:val="ro-RO"/>
        </w:rPr>
        <w:t>ii/documente</w:t>
      </w:r>
      <w:r w:rsidR="002C4BC2" w:rsidRPr="002A3C19">
        <w:rPr>
          <w:color w:val="000000" w:themeColor="text1"/>
          <w:sz w:val="24"/>
          <w:szCs w:val="24"/>
          <w:lang w:val="ro-RO"/>
        </w:rPr>
        <w:t xml:space="preserve"> gestionate la nivelul ANRE</w:t>
      </w:r>
      <w:r w:rsidR="00473866" w:rsidRPr="002A3C19">
        <w:rPr>
          <w:color w:val="000000" w:themeColor="text1"/>
          <w:sz w:val="24"/>
          <w:szCs w:val="24"/>
          <w:lang w:val="ro-RO"/>
        </w:rPr>
        <w:t>,</w:t>
      </w:r>
      <w:r w:rsidR="002C4BC2" w:rsidRPr="002A3C19">
        <w:rPr>
          <w:color w:val="000000" w:themeColor="text1"/>
          <w:sz w:val="24"/>
          <w:szCs w:val="24"/>
          <w:lang w:val="ro-RO"/>
        </w:rPr>
        <w:t xml:space="preserve"> considerate a fi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2C4BC2" w:rsidRPr="002A3C19">
        <w:rPr>
          <w:color w:val="000000" w:themeColor="text1"/>
          <w:sz w:val="24"/>
          <w:szCs w:val="24"/>
          <w:lang w:val="ro-RO"/>
        </w:rPr>
        <w:t>iale</w:t>
      </w:r>
      <w:r w:rsidR="00E74FEC">
        <w:rPr>
          <w:color w:val="000000" w:themeColor="text1"/>
          <w:sz w:val="24"/>
          <w:szCs w:val="24"/>
          <w:lang w:val="ro-RO"/>
        </w:rPr>
        <w:t xml:space="preserve">, în conformitate cu prevederile art. 7 alin. (4) din </w:t>
      </w:r>
      <w:r w:rsidR="00E74FEC" w:rsidRPr="00E74FEC">
        <w:rPr>
          <w:color w:val="000000" w:themeColor="text1"/>
          <w:sz w:val="24"/>
          <w:szCs w:val="24"/>
          <w:lang w:val="ro-RO"/>
        </w:rPr>
        <w:t>Ordonanța de urgență a Guvernului nr. 33/2007, aprobată cu modificări și completări prin Legea nr. 160/2012, cu modificările și completările ulterioare</w:t>
      </w:r>
      <w:r w:rsidRPr="002A3C19">
        <w:rPr>
          <w:color w:val="000000" w:themeColor="text1"/>
          <w:sz w:val="24"/>
          <w:szCs w:val="24"/>
          <w:lang w:val="ro-RO"/>
        </w:rPr>
        <w:t>.</w:t>
      </w:r>
    </w:p>
    <w:p w14:paraId="528B66D1" w14:textId="77777777" w:rsidR="0024016A" w:rsidRPr="002A3C19" w:rsidRDefault="0024016A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48F44647" w14:textId="035F3DD8" w:rsidR="003C645B" w:rsidRPr="002A3C19" w:rsidRDefault="0024016A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2</w:t>
      </w:r>
      <w:r w:rsidRPr="002A3C19">
        <w:rPr>
          <w:b/>
          <w:color w:val="000000" w:themeColor="text1"/>
          <w:sz w:val="24"/>
          <w:szCs w:val="24"/>
          <w:lang w:val="ro-RO"/>
        </w:rPr>
        <w:t>.</w:t>
      </w:r>
      <w:r w:rsidRPr="002A3C19">
        <w:rPr>
          <w:color w:val="000000" w:themeColor="text1"/>
          <w:sz w:val="24"/>
          <w:szCs w:val="24"/>
          <w:lang w:val="ro-RO"/>
        </w:rPr>
        <w:t xml:space="preserve"> – Categoriile de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</w:t>
      </w:r>
      <w:r w:rsidR="007840FF" w:rsidRPr="002A3C19">
        <w:rPr>
          <w:color w:val="000000" w:themeColor="text1"/>
          <w:sz w:val="24"/>
          <w:szCs w:val="24"/>
          <w:lang w:val="ro-RO"/>
        </w:rPr>
        <w:t>/documente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7840FF" w:rsidRPr="002A3C19">
        <w:rPr>
          <w:color w:val="000000" w:themeColor="text1"/>
          <w:sz w:val="24"/>
          <w:szCs w:val="24"/>
          <w:lang w:val="ro-RO"/>
        </w:rPr>
        <w:t>iale, conform prevederilor prezentului regulament sunt prevăzute în anexă.</w:t>
      </w:r>
    </w:p>
    <w:p w14:paraId="5E38F047" w14:textId="77777777" w:rsidR="007840FF" w:rsidRPr="002A3C19" w:rsidRDefault="007840FF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4966AF81" w14:textId="77777777" w:rsidR="008F3229" w:rsidRPr="002A3C19" w:rsidRDefault="008F3229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CAPITOLUL II</w:t>
      </w:r>
    </w:p>
    <w:p w14:paraId="0367CE4B" w14:textId="77777777" w:rsidR="008F3229" w:rsidRPr="002A3C19" w:rsidRDefault="008F3229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Domeniul de aplicare</w:t>
      </w:r>
    </w:p>
    <w:p w14:paraId="4061D256" w14:textId="77777777" w:rsidR="008F3229" w:rsidRPr="002A3C19" w:rsidRDefault="008F3229" w:rsidP="00AE1131">
      <w:pPr>
        <w:spacing w:line="360" w:lineRule="auto"/>
        <w:jc w:val="center"/>
        <w:rPr>
          <w:color w:val="000000" w:themeColor="text1"/>
          <w:sz w:val="24"/>
          <w:szCs w:val="24"/>
          <w:lang w:val="ro-RO"/>
        </w:rPr>
      </w:pPr>
    </w:p>
    <w:p w14:paraId="03CF04D6" w14:textId="22CF5FA1" w:rsidR="002F001D" w:rsidRPr="002A3C19" w:rsidRDefault="007840FF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3</w:t>
      </w:r>
      <w:r w:rsidR="008F3229" w:rsidRPr="002A3C19">
        <w:rPr>
          <w:b/>
          <w:color w:val="000000" w:themeColor="text1"/>
          <w:sz w:val="24"/>
          <w:szCs w:val="24"/>
          <w:lang w:val="ro-RO"/>
        </w:rPr>
        <w:t>.</w:t>
      </w:r>
      <w:r w:rsidR="008F3229" w:rsidRPr="002A3C19">
        <w:rPr>
          <w:color w:val="000000" w:themeColor="text1"/>
          <w:sz w:val="24"/>
          <w:szCs w:val="24"/>
          <w:lang w:val="ro-RO"/>
        </w:rPr>
        <w:t xml:space="preserve"> – </w:t>
      </w:r>
      <w:r w:rsidR="008F3229" w:rsidRPr="002A3C19">
        <w:rPr>
          <w:b/>
          <w:color w:val="000000" w:themeColor="text1"/>
          <w:sz w:val="24"/>
          <w:szCs w:val="24"/>
          <w:lang w:val="ro-RO"/>
        </w:rPr>
        <w:t>(1)</w:t>
      </w:r>
      <w:r w:rsidR="008F3229" w:rsidRPr="002A3C19">
        <w:rPr>
          <w:color w:val="000000" w:themeColor="text1"/>
          <w:sz w:val="24"/>
          <w:szCs w:val="24"/>
          <w:lang w:val="ro-RO"/>
        </w:rPr>
        <w:t xml:space="preserve"> Prezentul regulament se aplică de către </w:t>
      </w:r>
      <w:r w:rsidR="001D5BB9" w:rsidRPr="002A3C19">
        <w:rPr>
          <w:color w:val="000000" w:themeColor="text1"/>
          <w:sz w:val="24"/>
          <w:szCs w:val="24"/>
          <w:lang w:val="ro-RO"/>
        </w:rPr>
        <w:t>operatorii economici</w:t>
      </w:r>
      <w:r w:rsidR="004C19E2">
        <w:rPr>
          <w:color w:val="000000" w:themeColor="text1"/>
          <w:sz w:val="24"/>
          <w:szCs w:val="24"/>
          <w:lang w:val="ro-RO"/>
        </w:rPr>
        <w:t xml:space="preserve"> aflați în sfera de reglementare a ANRE</w:t>
      </w:r>
      <w:r w:rsidR="00717ABB" w:rsidRPr="002A3C19">
        <w:rPr>
          <w:color w:val="000000" w:themeColor="text1"/>
          <w:sz w:val="24"/>
          <w:szCs w:val="24"/>
          <w:lang w:val="ro-RO"/>
        </w:rPr>
        <w:t>.</w:t>
      </w:r>
    </w:p>
    <w:p w14:paraId="37F9462E" w14:textId="2C05EBA2" w:rsidR="00717ABB" w:rsidRPr="002A3C19" w:rsidRDefault="00717ABB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(2)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356BC7" w:rsidRPr="002A3C19">
        <w:rPr>
          <w:color w:val="000000" w:themeColor="text1"/>
          <w:sz w:val="24"/>
          <w:szCs w:val="24"/>
          <w:lang w:val="ro-RO"/>
        </w:rPr>
        <w:t>Nu intră sub inciden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356BC7" w:rsidRPr="002A3C19">
        <w:rPr>
          <w:color w:val="000000" w:themeColor="text1"/>
          <w:sz w:val="24"/>
          <w:szCs w:val="24"/>
          <w:lang w:val="ro-RO"/>
        </w:rPr>
        <w:t>a prezentului regulament categoriile de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356BC7" w:rsidRPr="002A3C19">
        <w:rPr>
          <w:color w:val="000000" w:themeColor="text1"/>
          <w:sz w:val="24"/>
          <w:szCs w:val="24"/>
          <w:lang w:val="ro-RO"/>
        </w:rPr>
        <w:t xml:space="preserve">ii reglementate de alte acte normative, precum Regulamentul REMIT, Regulamentul GDPR precum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356BC7" w:rsidRPr="002A3C19">
        <w:rPr>
          <w:color w:val="000000" w:themeColor="text1"/>
          <w:sz w:val="24"/>
          <w:szCs w:val="24"/>
          <w:lang w:val="ro-RO"/>
        </w:rPr>
        <w:t xml:space="preserve">i cele care 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356BC7" w:rsidRPr="002A3C19">
        <w:rPr>
          <w:color w:val="000000" w:themeColor="text1"/>
          <w:sz w:val="24"/>
          <w:szCs w:val="24"/>
          <w:lang w:val="ro-RO"/>
        </w:rPr>
        <w:t>in de domeniul siguran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356BC7" w:rsidRPr="002A3C19">
        <w:rPr>
          <w:color w:val="000000" w:themeColor="text1"/>
          <w:sz w:val="24"/>
          <w:szCs w:val="24"/>
          <w:lang w:val="ro-RO"/>
        </w:rPr>
        <w:t>ei na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356BC7" w:rsidRPr="002A3C19">
        <w:rPr>
          <w:color w:val="000000" w:themeColor="text1"/>
          <w:sz w:val="24"/>
          <w:szCs w:val="24"/>
          <w:lang w:val="ro-RO"/>
        </w:rPr>
        <w:t>ionale.</w:t>
      </w:r>
    </w:p>
    <w:p w14:paraId="710634A4" w14:textId="158971F8" w:rsidR="00284A33" w:rsidRPr="002A3C19" w:rsidRDefault="006D6824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(3)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E37FB1" w:rsidRPr="002A3C19">
        <w:rPr>
          <w:color w:val="000000" w:themeColor="text1"/>
          <w:sz w:val="24"/>
          <w:szCs w:val="24"/>
          <w:lang w:val="ro-RO"/>
        </w:rPr>
        <w:t>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37FB1" w:rsidRPr="002A3C19">
        <w:rPr>
          <w:color w:val="000000" w:themeColor="text1"/>
          <w:sz w:val="24"/>
          <w:szCs w:val="24"/>
          <w:lang w:val="ro-RO"/>
        </w:rPr>
        <w:t>iile destinate public</w:t>
      </w:r>
      <w:r w:rsidR="00587263" w:rsidRPr="002A3C19">
        <w:rPr>
          <w:color w:val="000000" w:themeColor="text1"/>
          <w:sz w:val="24"/>
          <w:szCs w:val="24"/>
          <w:lang w:val="ro-RO"/>
        </w:rPr>
        <w:t>ă</w:t>
      </w:r>
      <w:r w:rsidR="00E37FB1" w:rsidRPr="002A3C19">
        <w:rPr>
          <w:color w:val="000000" w:themeColor="text1"/>
          <w:sz w:val="24"/>
          <w:szCs w:val="24"/>
          <w:lang w:val="ro-RO"/>
        </w:rPr>
        <w:t>rii conform legisla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37FB1" w:rsidRPr="002A3C19">
        <w:rPr>
          <w:color w:val="000000" w:themeColor="text1"/>
          <w:sz w:val="24"/>
          <w:szCs w:val="24"/>
          <w:lang w:val="ro-RO"/>
        </w:rPr>
        <w:t>iei comunitare, na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37FB1" w:rsidRPr="002A3C19">
        <w:rPr>
          <w:color w:val="000000" w:themeColor="text1"/>
          <w:sz w:val="24"/>
          <w:szCs w:val="24"/>
          <w:lang w:val="ro-RO"/>
        </w:rPr>
        <w:t>ionale sau a celei emise de ANRE nu pot fi considerate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37FB1" w:rsidRPr="002A3C19">
        <w:rPr>
          <w:color w:val="000000" w:themeColor="text1"/>
          <w:sz w:val="24"/>
          <w:szCs w:val="24"/>
          <w:lang w:val="ro-RO"/>
        </w:rPr>
        <w:t>iale</w:t>
      </w:r>
      <w:r w:rsidR="00913BDD" w:rsidRPr="002A3C19">
        <w:rPr>
          <w:color w:val="000000" w:themeColor="text1"/>
          <w:sz w:val="24"/>
          <w:szCs w:val="24"/>
          <w:lang w:val="ro-RO"/>
        </w:rPr>
        <w:t>.</w:t>
      </w:r>
      <w:r w:rsidR="00E37FB1" w:rsidRPr="002A3C19" w:rsidDel="00E37FB1">
        <w:rPr>
          <w:color w:val="000000" w:themeColor="text1"/>
          <w:sz w:val="24"/>
          <w:szCs w:val="24"/>
          <w:lang w:val="ro-RO"/>
        </w:rPr>
        <w:t xml:space="preserve"> </w:t>
      </w:r>
    </w:p>
    <w:p w14:paraId="26794CED" w14:textId="77777777" w:rsidR="002F001D" w:rsidRPr="002A3C19" w:rsidRDefault="002F001D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1688D7FF" w14:textId="77777777" w:rsidR="006D6824" w:rsidRPr="002A3C19" w:rsidRDefault="006D6824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CAPITOLUL III</w:t>
      </w:r>
    </w:p>
    <w:p w14:paraId="1AD31872" w14:textId="3B2FE183" w:rsidR="006D6824" w:rsidRPr="002A3C19" w:rsidRDefault="006D6824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Termeni </w:t>
      </w:r>
      <w:r w:rsidR="002A3C19">
        <w:rPr>
          <w:b/>
          <w:color w:val="000000" w:themeColor="text1"/>
          <w:sz w:val="24"/>
          <w:szCs w:val="24"/>
          <w:lang w:val="ro-RO"/>
        </w:rPr>
        <w:t>ș</w:t>
      </w:r>
      <w:r w:rsidRPr="002A3C19">
        <w:rPr>
          <w:b/>
          <w:color w:val="000000" w:themeColor="text1"/>
          <w:sz w:val="24"/>
          <w:szCs w:val="24"/>
          <w:lang w:val="ro-RO"/>
        </w:rPr>
        <w:t>i abrevieri</w:t>
      </w:r>
    </w:p>
    <w:p w14:paraId="2F5D99D8" w14:textId="77777777" w:rsidR="006D6824" w:rsidRPr="002A3C19" w:rsidRDefault="006D6824" w:rsidP="00AE1131">
      <w:pPr>
        <w:spacing w:line="360" w:lineRule="auto"/>
        <w:jc w:val="center"/>
        <w:rPr>
          <w:color w:val="000000" w:themeColor="text1"/>
          <w:sz w:val="24"/>
          <w:szCs w:val="24"/>
          <w:lang w:val="ro-RO"/>
        </w:rPr>
      </w:pPr>
    </w:p>
    <w:p w14:paraId="34E3B16F" w14:textId="4142EC16" w:rsidR="00543F61" w:rsidRPr="002A3C19" w:rsidRDefault="00837F81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4</w:t>
      </w:r>
      <w:r w:rsidR="006D6824" w:rsidRPr="002A3C19">
        <w:rPr>
          <w:b/>
          <w:color w:val="000000" w:themeColor="text1"/>
          <w:sz w:val="24"/>
          <w:szCs w:val="24"/>
          <w:lang w:val="ro-RO"/>
        </w:rPr>
        <w:t>.</w:t>
      </w:r>
      <w:r w:rsidR="006D6824" w:rsidRPr="002A3C19">
        <w:rPr>
          <w:color w:val="000000" w:themeColor="text1"/>
          <w:sz w:val="24"/>
          <w:szCs w:val="24"/>
          <w:lang w:val="ro-RO"/>
        </w:rPr>
        <w:t xml:space="preserve"> –  În în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6D6824" w:rsidRPr="002A3C19">
        <w:rPr>
          <w:color w:val="000000" w:themeColor="text1"/>
          <w:sz w:val="24"/>
          <w:szCs w:val="24"/>
          <w:lang w:val="ro-RO"/>
        </w:rPr>
        <w:t xml:space="preserve">elesul prezentului regulament, </w:t>
      </w:r>
      <w:r w:rsidR="00543F61" w:rsidRPr="002A3C19">
        <w:rPr>
          <w:color w:val="000000" w:themeColor="text1"/>
          <w:sz w:val="24"/>
          <w:szCs w:val="24"/>
          <w:lang w:val="ro-RO"/>
        </w:rPr>
        <w:t xml:space="preserve">următoarele abrevieri, termeni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543F61" w:rsidRPr="002A3C19">
        <w:rPr>
          <w:color w:val="000000" w:themeColor="text1"/>
          <w:sz w:val="24"/>
          <w:szCs w:val="24"/>
          <w:lang w:val="ro-RO"/>
        </w:rPr>
        <w:t>i expresii se definesc după cum urmează:</w:t>
      </w:r>
    </w:p>
    <w:p w14:paraId="1E1AD17C" w14:textId="7F9E342E" w:rsidR="00543F61" w:rsidRPr="002A3C19" w:rsidRDefault="00543F61" w:rsidP="00AE1131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>ANRE - Autoritatea Na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ională de Reglementare în Domeniul Energiei;</w:t>
      </w:r>
    </w:p>
    <w:p w14:paraId="05E33394" w14:textId="4D4697CC" w:rsidR="00352DA9" w:rsidRPr="002A3C19" w:rsidRDefault="00543F61" w:rsidP="00E43CD2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lastRenderedPageBreak/>
        <w:t xml:space="preserve"> </w:t>
      </w:r>
      <w:r w:rsidR="006D6824" w:rsidRPr="002A3C19">
        <w:rPr>
          <w:color w:val="000000" w:themeColor="text1"/>
          <w:sz w:val="24"/>
          <w:szCs w:val="24"/>
          <w:lang w:val="ro-RO"/>
        </w:rPr>
        <w:t>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B16C13" w:rsidRPr="002A3C19">
        <w:rPr>
          <w:color w:val="000000" w:themeColor="text1"/>
          <w:sz w:val="24"/>
          <w:szCs w:val="24"/>
          <w:lang w:val="ro-RO"/>
        </w:rPr>
        <w:t>ie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B16C13" w:rsidRPr="002A3C19">
        <w:rPr>
          <w:color w:val="000000" w:themeColor="text1"/>
          <w:sz w:val="24"/>
          <w:szCs w:val="24"/>
          <w:lang w:val="ro-RO"/>
        </w:rPr>
        <w:t>ială</w:t>
      </w:r>
      <w:r w:rsidR="006D6824" w:rsidRPr="002A3C19">
        <w:rPr>
          <w:color w:val="000000" w:themeColor="text1"/>
          <w:sz w:val="24"/>
          <w:szCs w:val="24"/>
          <w:lang w:val="ro-RO"/>
        </w:rPr>
        <w:t xml:space="preserve"> - orice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6D6824" w:rsidRPr="002A3C19">
        <w:rPr>
          <w:color w:val="000000" w:themeColor="text1"/>
          <w:sz w:val="24"/>
          <w:szCs w:val="24"/>
          <w:lang w:val="ro-RO"/>
        </w:rPr>
        <w:t xml:space="preserve">ie cu caracter precis, </w:t>
      </w:r>
      <w:r w:rsidR="00292E3C" w:rsidRPr="002A3C19">
        <w:rPr>
          <w:color w:val="000000" w:themeColor="text1"/>
          <w:sz w:val="24"/>
          <w:szCs w:val="24"/>
          <w:lang w:val="ro-RO"/>
        </w:rPr>
        <w:t xml:space="preserve">care nu a fost făcută publică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292E3C" w:rsidRPr="002A3C19">
        <w:rPr>
          <w:color w:val="000000" w:themeColor="text1"/>
          <w:sz w:val="24"/>
          <w:szCs w:val="24"/>
          <w:lang w:val="ro-RO"/>
        </w:rPr>
        <w:t>i</w:t>
      </w:r>
      <w:r w:rsidR="00815849" w:rsidRPr="002A3C19">
        <w:rPr>
          <w:color w:val="000000" w:themeColor="text1"/>
          <w:sz w:val="24"/>
          <w:szCs w:val="24"/>
          <w:lang w:val="ro-RO"/>
        </w:rPr>
        <w:t xml:space="preserve"> care se referă în mod direct sau indirect la aspecte a căror dezvăluire ar putea conduce</w:t>
      </w:r>
      <w:r w:rsidR="002A6D1C" w:rsidRPr="002A3C19">
        <w:rPr>
          <w:color w:val="000000" w:themeColor="text1"/>
          <w:sz w:val="24"/>
          <w:szCs w:val="24"/>
          <w:lang w:val="ro-RO"/>
        </w:rPr>
        <w:t xml:space="preserve"> la producerea de prejudicii patrimoniale unei persoane fizice, unui operator economic sau ANRE;</w:t>
      </w:r>
      <w:r w:rsidR="000F3195"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0A5069" w:rsidRPr="002A3C19">
        <w:rPr>
          <w:color w:val="000000" w:themeColor="text1"/>
          <w:sz w:val="24"/>
          <w:szCs w:val="24"/>
          <w:lang w:val="ro-RO"/>
        </w:rPr>
        <w:t>În în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0A5069" w:rsidRPr="002A3C19">
        <w:rPr>
          <w:color w:val="000000" w:themeColor="text1"/>
          <w:sz w:val="24"/>
          <w:szCs w:val="24"/>
          <w:lang w:val="ro-RO"/>
        </w:rPr>
        <w:t>elesul prezentului regulament sunt asimilate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0A5069" w:rsidRPr="002A3C19">
        <w:rPr>
          <w:color w:val="000000" w:themeColor="text1"/>
          <w:sz w:val="24"/>
          <w:szCs w:val="24"/>
          <w:lang w:val="ro-RO"/>
        </w:rPr>
        <w:t>iilor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0A5069" w:rsidRPr="002A3C19">
        <w:rPr>
          <w:color w:val="000000" w:themeColor="text1"/>
          <w:sz w:val="24"/>
          <w:szCs w:val="24"/>
          <w:lang w:val="ro-RO"/>
        </w:rPr>
        <w:t xml:space="preserve">iale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0A5069" w:rsidRPr="002A3C19">
        <w:rPr>
          <w:color w:val="000000" w:themeColor="text1"/>
          <w:sz w:val="24"/>
          <w:szCs w:val="24"/>
          <w:lang w:val="ro-RO"/>
        </w:rPr>
        <w:t>i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0A5069" w:rsidRPr="002A3C19">
        <w:rPr>
          <w:color w:val="000000" w:themeColor="text1"/>
          <w:sz w:val="24"/>
          <w:szCs w:val="24"/>
          <w:lang w:val="ro-RO"/>
        </w:rPr>
        <w:t xml:space="preserve">iile sensibile comercial prevăzute la art. 3 pct. 30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0A5069" w:rsidRPr="002A3C19">
        <w:rPr>
          <w:color w:val="000000" w:themeColor="text1"/>
          <w:sz w:val="24"/>
          <w:szCs w:val="24"/>
          <w:lang w:val="ro-RO"/>
        </w:rPr>
        <w:t>i art. 100 pct. 50 din Lege;</w:t>
      </w:r>
    </w:p>
    <w:p w14:paraId="783E6AB6" w14:textId="59FC2B0C" w:rsidR="000F3195" w:rsidRPr="002A3C19" w:rsidRDefault="000F3195" w:rsidP="00AE1131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 xml:space="preserve">Lege – Legea energiei electrice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>i a gazelor naturale nr. 123/2012, cu modifi</w:t>
      </w:r>
      <w:r w:rsidR="003C645B" w:rsidRPr="002A3C19">
        <w:rPr>
          <w:color w:val="000000" w:themeColor="text1"/>
          <w:sz w:val="24"/>
          <w:szCs w:val="24"/>
          <w:lang w:val="ro-RO"/>
        </w:rPr>
        <w:t xml:space="preserve">cările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3C645B" w:rsidRPr="002A3C19">
        <w:rPr>
          <w:color w:val="000000" w:themeColor="text1"/>
          <w:sz w:val="24"/>
          <w:szCs w:val="24"/>
          <w:lang w:val="ro-RO"/>
        </w:rPr>
        <w:t>i completările ulterioare;</w:t>
      </w:r>
    </w:p>
    <w:p w14:paraId="368AD6DE" w14:textId="3C33F569" w:rsidR="004C19E2" w:rsidRPr="002A3C19" w:rsidRDefault="004C19E2" w:rsidP="00AE1131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 xml:space="preserve">OUG nr. 33/2007 – Ordonanța de </w:t>
      </w:r>
      <w:r w:rsidRPr="004C19E2">
        <w:rPr>
          <w:color w:val="000000" w:themeColor="text1"/>
          <w:sz w:val="24"/>
          <w:szCs w:val="24"/>
          <w:lang w:val="ro-RO"/>
        </w:rPr>
        <w:t>urgență a Guvernului nr. 33/2007, aprobată cu modificări și completări prin Legea nr. 160/2012, cu modificările și completările ulterioare</w:t>
      </w:r>
    </w:p>
    <w:p w14:paraId="30C8EB60" w14:textId="77777777" w:rsidR="002A6D1C" w:rsidRPr="002A3C19" w:rsidRDefault="002A6D1C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26FA8862" w14:textId="77777777" w:rsidR="002A6D1C" w:rsidRPr="002A3C19" w:rsidRDefault="002A6D1C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CAPITOLUL IV</w:t>
      </w:r>
    </w:p>
    <w:p w14:paraId="744EEE84" w14:textId="36CFF171" w:rsidR="002A6D1C" w:rsidRPr="002A3C19" w:rsidRDefault="00C50724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Trasabilitatea informa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iilor confiden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>iale</w:t>
      </w:r>
    </w:p>
    <w:p w14:paraId="132132C5" w14:textId="77777777" w:rsidR="0057435D" w:rsidRPr="002A3C19" w:rsidRDefault="0057435D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</w:p>
    <w:p w14:paraId="4B4C5536" w14:textId="77777777" w:rsidR="000F1966" w:rsidRPr="002A3C19" w:rsidRDefault="000F1966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3B430751" w14:textId="11382412" w:rsidR="001251A8" w:rsidRPr="002A3C19" w:rsidRDefault="00837F81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5</w:t>
      </w:r>
      <w:r w:rsidR="00E95E98" w:rsidRPr="002A3C19">
        <w:rPr>
          <w:b/>
          <w:color w:val="000000" w:themeColor="text1"/>
          <w:sz w:val="24"/>
          <w:szCs w:val="24"/>
          <w:lang w:val="ro-RO"/>
        </w:rPr>
        <w:t>.</w:t>
      </w:r>
      <w:r w:rsidR="00E95E98" w:rsidRPr="002A3C19">
        <w:rPr>
          <w:color w:val="000000" w:themeColor="text1"/>
          <w:sz w:val="24"/>
          <w:szCs w:val="24"/>
          <w:lang w:val="ro-RO"/>
        </w:rPr>
        <w:t xml:space="preserve"> – </w:t>
      </w:r>
      <w:r w:rsidR="00AC6797" w:rsidRPr="002A3C19">
        <w:rPr>
          <w:color w:val="000000" w:themeColor="text1"/>
          <w:sz w:val="24"/>
          <w:szCs w:val="24"/>
          <w:lang w:val="ro-RO"/>
        </w:rPr>
        <w:t xml:space="preserve">(1) </w:t>
      </w:r>
      <w:r w:rsidR="00E95E98" w:rsidRPr="002A3C19">
        <w:rPr>
          <w:color w:val="000000" w:themeColor="text1"/>
          <w:sz w:val="24"/>
          <w:szCs w:val="24"/>
          <w:lang w:val="ro-RO"/>
        </w:rPr>
        <w:t>În rela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95E98" w:rsidRPr="002A3C19">
        <w:rPr>
          <w:color w:val="000000" w:themeColor="text1"/>
          <w:sz w:val="24"/>
          <w:szCs w:val="24"/>
          <w:lang w:val="ro-RO"/>
        </w:rPr>
        <w:t>ia cu ANRE, în conformitate cu prevederile art. 7 alin. (4) din Ordonan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95E98" w:rsidRPr="002A3C19">
        <w:rPr>
          <w:color w:val="000000" w:themeColor="text1"/>
          <w:sz w:val="24"/>
          <w:szCs w:val="24"/>
          <w:lang w:val="ro-RO"/>
        </w:rPr>
        <w:t>a de urgen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E95E98" w:rsidRPr="002A3C19">
        <w:rPr>
          <w:color w:val="000000" w:themeColor="text1"/>
          <w:sz w:val="24"/>
          <w:szCs w:val="24"/>
          <w:lang w:val="ro-RO"/>
        </w:rPr>
        <w:t xml:space="preserve">ă a Guvernului nr. 33/2007, aprobată cu modificări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E95E98" w:rsidRPr="002A3C19">
        <w:rPr>
          <w:color w:val="000000" w:themeColor="text1"/>
          <w:sz w:val="24"/>
          <w:szCs w:val="24"/>
          <w:lang w:val="ro-RO"/>
        </w:rPr>
        <w:t xml:space="preserve">i completări prin Legea nr. 160/2012, cu modificările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E95E98" w:rsidRPr="002A3C19">
        <w:rPr>
          <w:color w:val="000000" w:themeColor="text1"/>
          <w:sz w:val="24"/>
          <w:szCs w:val="24"/>
          <w:lang w:val="ro-RO"/>
        </w:rPr>
        <w:t>i completările ulterioare</w:t>
      </w:r>
      <w:r w:rsidR="00AC6797" w:rsidRPr="002A3C19">
        <w:rPr>
          <w:color w:val="000000" w:themeColor="text1"/>
          <w:sz w:val="24"/>
          <w:szCs w:val="24"/>
          <w:lang w:val="ro-RO"/>
        </w:rPr>
        <w:t>, operatorii economici au obliga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AC6797" w:rsidRPr="002A3C19">
        <w:rPr>
          <w:color w:val="000000" w:themeColor="text1"/>
          <w:sz w:val="24"/>
          <w:szCs w:val="24"/>
          <w:lang w:val="ro-RO"/>
        </w:rPr>
        <w:t>ia să î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AC6797" w:rsidRPr="002A3C19">
        <w:rPr>
          <w:color w:val="000000" w:themeColor="text1"/>
          <w:sz w:val="24"/>
          <w:szCs w:val="24"/>
          <w:lang w:val="ro-RO"/>
        </w:rPr>
        <w:t xml:space="preserve">i </w:t>
      </w:r>
      <w:r w:rsidR="0088682F" w:rsidRPr="002A3C19">
        <w:rPr>
          <w:color w:val="000000" w:themeColor="text1"/>
          <w:sz w:val="24"/>
          <w:szCs w:val="24"/>
          <w:lang w:val="ro-RO"/>
        </w:rPr>
        <w:t>stabileasc</w:t>
      </w:r>
      <w:r w:rsidR="002C160F" w:rsidRPr="002A3C19">
        <w:rPr>
          <w:color w:val="000000" w:themeColor="text1"/>
          <w:sz w:val="24"/>
          <w:szCs w:val="24"/>
          <w:lang w:val="ro-RO"/>
        </w:rPr>
        <w:t>ă</w:t>
      </w:r>
      <w:r w:rsidR="0088682F" w:rsidRPr="002A3C19">
        <w:rPr>
          <w:color w:val="000000" w:themeColor="text1"/>
          <w:sz w:val="24"/>
          <w:szCs w:val="24"/>
          <w:lang w:val="ro-RO"/>
        </w:rPr>
        <w:t xml:space="preserve">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88682F" w:rsidRPr="002A3C19">
        <w:rPr>
          <w:color w:val="000000" w:themeColor="text1"/>
          <w:sz w:val="24"/>
          <w:szCs w:val="24"/>
          <w:lang w:val="ro-RO"/>
        </w:rPr>
        <w:t>ialitatea coresponden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88682F" w:rsidRPr="002A3C19">
        <w:rPr>
          <w:color w:val="000000" w:themeColor="text1"/>
          <w:sz w:val="24"/>
          <w:szCs w:val="24"/>
          <w:lang w:val="ro-RO"/>
        </w:rPr>
        <w:t>ei</w:t>
      </w:r>
      <w:r w:rsidR="00AC6797" w:rsidRPr="002A3C19">
        <w:rPr>
          <w:color w:val="000000" w:themeColor="text1"/>
          <w:sz w:val="24"/>
          <w:szCs w:val="24"/>
          <w:lang w:val="ro-RO"/>
        </w:rPr>
        <w:t xml:space="preserve"> purtată cu </w:t>
      </w:r>
      <w:r w:rsidRPr="002A3C19">
        <w:rPr>
          <w:color w:val="000000" w:themeColor="text1"/>
          <w:sz w:val="24"/>
          <w:szCs w:val="24"/>
          <w:lang w:val="ro-RO"/>
        </w:rPr>
        <w:t>autoritatea</w:t>
      </w:r>
      <w:r w:rsidR="00AC6797" w:rsidRPr="002A3C19">
        <w:rPr>
          <w:color w:val="000000" w:themeColor="text1"/>
          <w:sz w:val="24"/>
          <w:szCs w:val="24"/>
          <w:lang w:val="ro-RO"/>
        </w:rPr>
        <w:t>, care 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AC6797" w:rsidRPr="002A3C19">
        <w:rPr>
          <w:color w:val="000000" w:themeColor="text1"/>
          <w:sz w:val="24"/>
          <w:szCs w:val="24"/>
          <w:lang w:val="ro-RO"/>
        </w:rPr>
        <w:t>ine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AC6797" w:rsidRPr="002A3C19">
        <w:rPr>
          <w:color w:val="000000" w:themeColor="text1"/>
          <w:sz w:val="24"/>
          <w:szCs w:val="24"/>
          <w:lang w:val="ro-RO"/>
        </w:rPr>
        <w:t>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AC6797" w:rsidRPr="002A3C19">
        <w:rPr>
          <w:color w:val="000000" w:themeColor="text1"/>
          <w:sz w:val="24"/>
          <w:szCs w:val="24"/>
          <w:lang w:val="ro-RO"/>
        </w:rPr>
        <w:t>iale, prin marcarea documentului/păr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AC6797" w:rsidRPr="002A3C19">
        <w:rPr>
          <w:color w:val="000000" w:themeColor="text1"/>
          <w:sz w:val="24"/>
          <w:szCs w:val="24"/>
          <w:lang w:val="ro-RO"/>
        </w:rPr>
        <w:t>ii din document cu men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AC6797" w:rsidRPr="002A3C19">
        <w:rPr>
          <w:color w:val="000000" w:themeColor="text1"/>
          <w:sz w:val="24"/>
          <w:szCs w:val="24"/>
          <w:lang w:val="ro-RO"/>
        </w:rPr>
        <w:t xml:space="preserve">iunea </w:t>
      </w:r>
      <w:r w:rsidR="00A84DED" w:rsidRPr="002A3C19">
        <w:rPr>
          <w:color w:val="000000" w:themeColor="text1"/>
          <w:sz w:val="24"/>
          <w:szCs w:val="24"/>
          <w:lang w:val="ro-RO"/>
        </w:rPr>
        <w:t>“</w:t>
      </w:r>
      <w:r w:rsidR="00F66E04" w:rsidRPr="002A3C19">
        <w:rPr>
          <w:color w:val="000000" w:themeColor="text1"/>
          <w:sz w:val="24"/>
          <w:szCs w:val="24"/>
          <w:lang w:val="ro-RO"/>
        </w:rPr>
        <w:t>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8D34C2" w:rsidRPr="002A3C19">
        <w:rPr>
          <w:color w:val="000000" w:themeColor="text1"/>
          <w:sz w:val="24"/>
          <w:szCs w:val="24"/>
          <w:lang w:val="ro-RO"/>
        </w:rPr>
        <w:t>ine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F66E04" w:rsidRPr="002A3C19">
        <w:rPr>
          <w:color w:val="000000" w:themeColor="text1"/>
          <w:sz w:val="24"/>
          <w:szCs w:val="24"/>
          <w:lang w:val="ro-RO"/>
        </w:rPr>
        <w:t>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F66E04" w:rsidRPr="002A3C19">
        <w:rPr>
          <w:color w:val="000000" w:themeColor="text1"/>
          <w:sz w:val="24"/>
          <w:szCs w:val="24"/>
          <w:lang w:val="ro-RO"/>
        </w:rPr>
        <w:t>iale”</w:t>
      </w:r>
      <w:r w:rsidR="00A84DED" w:rsidRPr="002A3C19">
        <w:rPr>
          <w:color w:val="000000" w:themeColor="text1"/>
          <w:sz w:val="24"/>
          <w:szCs w:val="24"/>
          <w:lang w:val="ro-RO"/>
        </w:rPr>
        <w:t>.</w:t>
      </w:r>
    </w:p>
    <w:p w14:paraId="034D86E0" w14:textId="30C57708" w:rsidR="00176F4C" w:rsidRPr="002A3C19" w:rsidRDefault="00F66E04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 w:rsidDel="00F66E04">
        <w:rPr>
          <w:color w:val="000000" w:themeColor="text1"/>
          <w:sz w:val="24"/>
          <w:szCs w:val="24"/>
          <w:lang w:val="ro-RO"/>
        </w:rPr>
        <w:t xml:space="preserve"> </w:t>
      </w:r>
      <w:r w:rsidR="001251A8" w:rsidRPr="002A3C19">
        <w:rPr>
          <w:color w:val="000000" w:themeColor="text1"/>
          <w:sz w:val="24"/>
          <w:szCs w:val="24"/>
          <w:lang w:val="ro-RO"/>
        </w:rPr>
        <w:t>(2) În situa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251A8" w:rsidRPr="002A3C19">
        <w:rPr>
          <w:color w:val="000000" w:themeColor="text1"/>
          <w:sz w:val="24"/>
          <w:szCs w:val="24"/>
          <w:lang w:val="ro-RO"/>
        </w:rPr>
        <w:t>ia în care documentele ce 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251A8" w:rsidRPr="002A3C19">
        <w:rPr>
          <w:color w:val="000000" w:themeColor="text1"/>
          <w:sz w:val="24"/>
          <w:szCs w:val="24"/>
          <w:lang w:val="ro-RO"/>
        </w:rPr>
        <w:t>in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251A8" w:rsidRPr="002A3C19">
        <w:rPr>
          <w:color w:val="000000" w:themeColor="text1"/>
          <w:sz w:val="24"/>
          <w:szCs w:val="24"/>
          <w:lang w:val="ro-RO"/>
        </w:rPr>
        <w:t>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251A8" w:rsidRPr="002A3C19">
        <w:rPr>
          <w:color w:val="000000" w:themeColor="text1"/>
          <w:sz w:val="24"/>
          <w:szCs w:val="24"/>
          <w:lang w:val="ro-RO"/>
        </w:rPr>
        <w:t>iale sunt transmise electronic la ANRE, emitentul acestora este obligat să specific</w:t>
      </w:r>
      <w:r w:rsidR="00176F4C" w:rsidRPr="002A3C19">
        <w:rPr>
          <w:color w:val="000000" w:themeColor="text1"/>
          <w:sz w:val="24"/>
          <w:szCs w:val="24"/>
          <w:lang w:val="ro-RO"/>
        </w:rPr>
        <w:t>e men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76F4C" w:rsidRPr="002A3C19">
        <w:rPr>
          <w:color w:val="000000" w:themeColor="text1"/>
          <w:sz w:val="24"/>
          <w:szCs w:val="24"/>
          <w:lang w:val="ro-RO"/>
        </w:rPr>
        <w:t>iunea “Con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76F4C" w:rsidRPr="002A3C19">
        <w:rPr>
          <w:color w:val="000000" w:themeColor="text1"/>
          <w:sz w:val="24"/>
          <w:szCs w:val="24"/>
          <w:lang w:val="ro-RO"/>
        </w:rPr>
        <w:t>ine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76F4C" w:rsidRPr="002A3C19">
        <w:rPr>
          <w:color w:val="000000" w:themeColor="text1"/>
          <w:sz w:val="24"/>
          <w:szCs w:val="24"/>
          <w:lang w:val="ro-RO"/>
        </w:rPr>
        <w:t>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176F4C" w:rsidRPr="002A3C19">
        <w:rPr>
          <w:color w:val="000000" w:themeColor="text1"/>
          <w:sz w:val="24"/>
          <w:szCs w:val="24"/>
          <w:lang w:val="ro-RO"/>
        </w:rPr>
        <w:t>iale”</w:t>
      </w:r>
      <w:r w:rsidR="00397F84" w:rsidRPr="002A3C19">
        <w:rPr>
          <w:color w:val="000000" w:themeColor="text1"/>
          <w:sz w:val="24"/>
          <w:szCs w:val="24"/>
          <w:lang w:val="ro-RO"/>
        </w:rPr>
        <w:t xml:space="preserve"> în </w:t>
      </w:r>
      <w:r w:rsidR="00726422">
        <w:rPr>
          <w:color w:val="000000" w:themeColor="text1"/>
          <w:sz w:val="24"/>
          <w:szCs w:val="24"/>
          <w:lang w:val="ro-RO"/>
        </w:rPr>
        <w:t>subiectul/</w:t>
      </w:r>
      <w:r w:rsidR="00397F84" w:rsidRPr="002A3C19">
        <w:rPr>
          <w:color w:val="000000" w:themeColor="text1"/>
          <w:sz w:val="24"/>
          <w:szCs w:val="24"/>
          <w:lang w:val="ro-RO"/>
        </w:rPr>
        <w:t xml:space="preserve">corpul emailului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397F84" w:rsidRPr="002A3C19">
        <w:rPr>
          <w:color w:val="000000" w:themeColor="text1"/>
          <w:sz w:val="24"/>
          <w:szCs w:val="24"/>
          <w:lang w:val="ro-RO"/>
        </w:rPr>
        <w:t>i/sau în interiorul documentului electronic transmis</w:t>
      </w:r>
      <w:r w:rsidR="00176F4C" w:rsidRPr="002A3C19">
        <w:rPr>
          <w:color w:val="000000" w:themeColor="text1"/>
          <w:sz w:val="24"/>
          <w:szCs w:val="24"/>
          <w:lang w:val="ro-RO"/>
        </w:rPr>
        <w:t>.</w:t>
      </w:r>
    </w:p>
    <w:p w14:paraId="4A6DD168" w14:textId="60E44F8B" w:rsidR="00E95E98" w:rsidRPr="002A3C19" w:rsidRDefault="00C91D96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>(</w:t>
      </w:r>
      <w:r w:rsidR="001251A8" w:rsidRPr="002A3C19">
        <w:rPr>
          <w:color w:val="000000" w:themeColor="text1"/>
          <w:sz w:val="24"/>
          <w:szCs w:val="24"/>
          <w:lang w:val="ro-RO"/>
        </w:rPr>
        <w:t>3</w:t>
      </w:r>
      <w:r w:rsidRPr="002A3C19">
        <w:rPr>
          <w:color w:val="000000" w:themeColor="text1"/>
          <w:sz w:val="24"/>
          <w:szCs w:val="24"/>
          <w:lang w:val="ro-RO"/>
        </w:rPr>
        <w:t xml:space="preserve">) La solicitarea ANRE operatorii economici trebuie să motiveze caracterul </w:t>
      </w:r>
      <w:r w:rsidR="00B13861" w:rsidRPr="002A3C19">
        <w:rPr>
          <w:color w:val="000000" w:themeColor="text1"/>
          <w:sz w:val="24"/>
          <w:szCs w:val="24"/>
          <w:lang w:val="ro-RO"/>
        </w:rPr>
        <w:t>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B13861" w:rsidRPr="002A3C19">
        <w:rPr>
          <w:color w:val="000000" w:themeColor="text1"/>
          <w:sz w:val="24"/>
          <w:szCs w:val="24"/>
          <w:lang w:val="ro-RO"/>
        </w:rPr>
        <w:t xml:space="preserve">ial </w:t>
      </w:r>
      <w:r w:rsidRPr="002A3C19">
        <w:rPr>
          <w:color w:val="000000" w:themeColor="text1"/>
          <w:sz w:val="24"/>
          <w:szCs w:val="24"/>
          <w:lang w:val="ro-RO"/>
        </w:rPr>
        <w:t>al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iilor</w:t>
      </w:r>
      <w:r w:rsidR="005E2F1D" w:rsidRPr="002A3C19">
        <w:rPr>
          <w:color w:val="000000" w:themeColor="text1"/>
          <w:sz w:val="24"/>
          <w:szCs w:val="24"/>
          <w:lang w:val="ro-RO"/>
        </w:rPr>
        <w:t>.</w:t>
      </w:r>
    </w:p>
    <w:p w14:paraId="720765FC" w14:textId="4B049B5D" w:rsidR="006B3EB7" w:rsidRPr="002A3C19" w:rsidRDefault="00AC6797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>(</w:t>
      </w:r>
      <w:r w:rsidR="001251A8" w:rsidRPr="002A3C19">
        <w:rPr>
          <w:color w:val="000000" w:themeColor="text1"/>
          <w:sz w:val="24"/>
          <w:szCs w:val="24"/>
          <w:lang w:val="ro-RO"/>
        </w:rPr>
        <w:t>4</w:t>
      </w:r>
      <w:r w:rsidRPr="002A3C19">
        <w:rPr>
          <w:color w:val="000000" w:themeColor="text1"/>
          <w:sz w:val="24"/>
          <w:szCs w:val="24"/>
          <w:lang w:val="ro-RO"/>
        </w:rPr>
        <w:t>) Coresponden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a prevăzută la alin. (1) poate fi transmisă autorită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 xml:space="preserve">ii în format electronic sau în format letric, </w:t>
      </w:r>
      <w:r w:rsidR="00292E3C" w:rsidRPr="002A3C19">
        <w:rPr>
          <w:color w:val="000000" w:themeColor="text1"/>
          <w:sz w:val="24"/>
          <w:szCs w:val="24"/>
          <w:lang w:val="ro-RO"/>
        </w:rPr>
        <w:t>situa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292E3C" w:rsidRPr="002A3C19">
        <w:rPr>
          <w:color w:val="000000" w:themeColor="text1"/>
          <w:sz w:val="24"/>
          <w:szCs w:val="24"/>
          <w:lang w:val="ro-RO"/>
        </w:rPr>
        <w:t>ie în care</w:t>
      </w:r>
      <w:r w:rsidR="00900DAE"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900DAE" w:rsidRPr="002A3C19">
        <w:rPr>
          <w:color w:val="000000" w:themeColor="text1"/>
          <w:sz w:val="24"/>
          <w:szCs w:val="24"/>
          <w:lang w:val="ro-RO"/>
        </w:rPr>
        <w:t>i</w:t>
      </w:r>
      <w:r w:rsidR="00292E3C" w:rsidRPr="002A3C19">
        <w:rPr>
          <w:color w:val="000000" w:themeColor="text1"/>
          <w:sz w:val="24"/>
          <w:szCs w:val="24"/>
          <w:lang w:val="ro-RO"/>
        </w:rPr>
        <w:t xml:space="preserve"> plicul trebuie să poarte accea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292E3C" w:rsidRPr="002A3C19">
        <w:rPr>
          <w:color w:val="000000" w:themeColor="text1"/>
          <w:sz w:val="24"/>
          <w:szCs w:val="24"/>
          <w:lang w:val="ro-RO"/>
        </w:rPr>
        <w:t>i men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292E3C" w:rsidRPr="002A3C19">
        <w:rPr>
          <w:color w:val="000000" w:themeColor="text1"/>
          <w:sz w:val="24"/>
          <w:szCs w:val="24"/>
          <w:lang w:val="ro-RO"/>
        </w:rPr>
        <w:t xml:space="preserve">ine </w:t>
      </w:r>
      <w:r w:rsidR="00F47717" w:rsidRPr="002A3C19">
        <w:rPr>
          <w:color w:val="000000" w:themeColor="text1"/>
          <w:sz w:val="24"/>
          <w:szCs w:val="24"/>
          <w:lang w:val="ro-RO"/>
        </w:rPr>
        <w:t>“Con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F47717" w:rsidRPr="002A3C19">
        <w:rPr>
          <w:color w:val="000000" w:themeColor="text1"/>
          <w:sz w:val="24"/>
          <w:szCs w:val="24"/>
          <w:lang w:val="ro-RO"/>
        </w:rPr>
        <w:t>ine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4400DE" w:rsidRPr="002A3C19">
        <w:rPr>
          <w:color w:val="000000" w:themeColor="text1"/>
          <w:sz w:val="24"/>
          <w:szCs w:val="24"/>
          <w:lang w:val="ro-RO"/>
        </w:rPr>
        <w:t>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4400DE" w:rsidRPr="002A3C19">
        <w:rPr>
          <w:color w:val="000000" w:themeColor="text1"/>
          <w:sz w:val="24"/>
          <w:szCs w:val="24"/>
          <w:lang w:val="ro-RO"/>
        </w:rPr>
        <w:t>iale”</w:t>
      </w:r>
      <w:r w:rsidR="00292E3C" w:rsidRPr="002A3C19">
        <w:rPr>
          <w:color w:val="000000" w:themeColor="text1"/>
          <w:sz w:val="24"/>
          <w:szCs w:val="24"/>
          <w:lang w:val="ro-RO"/>
        </w:rPr>
        <w:t>.</w:t>
      </w:r>
    </w:p>
    <w:p w14:paraId="5B005D1F" w14:textId="5F388A01" w:rsidR="00B16C13" w:rsidRPr="002A3C19" w:rsidRDefault="00F47717" w:rsidP="00C95513">
      <w:pPr>
        <w:pStyle w:val="CommentText"/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t>(</w:t>
      </w:r>
      <w:r w:rsidR="001251A8" w:rsidRPr="002A3C19">
        <w:rPr>
          <w:color w:val="000000" w:themeColor="text1"/>
          <w:sz w:val="24"/>
          <w:szCs w:val="24"/>
          <w:lang w:val="ro-RO"/>
        </w:rPr>
        <w:t>5</w:t>
      </w:r>
      <w:r w:rsidRPr="002A3C19">
        <w:rPr>
          <w:color w:val="000000" w:themeColor="text1"/>
          <w:sz w:val="24"/>
          <w:szCs w:val="24"/>
          <w:lang w:val="ro-RO"/>
        </w:rPr>
        <w:t>) Documentele care intr</w:t>
      </w:r>
      <w:r w:rsidR="006B7654" w:rsidRPr="002A3C19">
        <w:rPr>
          <w:color w:val="000000" w:themeColor="text1"/>
          <w:sz w:val="24"/>
          <w:szCs w:val="24"/>
          <w:lang w:val="ro-RO"/>
        </w:rPr>
        <w:t>ă, în format electronic sau letric,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6B7654" w:rsidRPr="002A3C19">
        <w:rPr>
          <w:color w:val="000000" w:themeColor="text1"/>
          <w:sz w:val="24"/>
          <w:szCs w:val="24"/>
          <w:lang w:val="ro-RO"/>
        </w:rPr>
        <w:t>î</w:t>
      </w:r>
      <w:r w:rsidR="005377C2" w:rsidRPr="002A3C19">
        <w:rPr>
          <w:color w:val="000000" w:themeColor="text1"/>
          <w:sz w:val="24"/>
          <w:szCs w:val="24"/>
          <w:lang w:val="ro-RO"/>
        </w:rPr>
        <w:t xml:space="preserve">n ANRE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Pr="002A3C19">
        <w:rPr>
          <w:color w:val="000000" w:themeColor="text1"/>
          <w:sz w:val="24"/>
          <w:szCs w:val="24"/>
          <w:lang w:val="ro-RO"/>
        </w:rPr>
        <w:t>i nu au inscrip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ionată men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iunea “Con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ine informatii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iale”</w:t>
      </w:r>
      <w:r w:rsidR="006B7654" w:rsidRPr="002A3C19">
        <w:rPr>
          <w:color w:val="000000" w:themeColor="text1"/>
          <w:sz w:val="24"/>
          <w:szCs w:val="24"/>
          <w:lang w:val="ro-RO"/>
        </w:rPr>
        <w:t>,</w:t>
      </w:r>
      <w:r w:rsidRPr="002A3C19">
        <w:rPr>
          <w:color w:val="000000" w:themeColor="text1"/>
          <w:sz w:val="24"/>
          <w:szCs w:val="24"/>
          <w:lang w:val="ro-RO"/>
        </w:rPr>
        <w:t xml:space="preserve"> vor fi tratate ca documente neconfiden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Pr="002A3C19">
        <w:rPr>
          <w:color w:val="000000" w:themeColor="text1"/>
          <w:sz w:val="24"/>
          <w:szCs w:val="24"/>
          <w:lang w:val="ro-RO"/>
        </w:rPr>
        <w:t>iale</w:t>
      </w:r>
      <w:r w:rsidR="006B7654" w:rsidRPr="002A3C19">
        <w:rPr>
          <w:color w:val="000000" w:themeColor="text1"/>
          <w:sz w:val="24"/>
          <w:szCs w:val="24"/>
          <w:lang w:val="ro-RO"/>
        </w:rPr>
        <w:t>.</w:t>
      </w:r>
      <w:r w:rsidRPr="002A3C19">
        <w:rPr>
          <w:color w:val="000000" w:themeColor="text1"/>
          <w:sz w:val="24"/>
          <w:szCs w:val="24"/>
          <w:lang w:val="ro-RO"/>
        </w:rPr>
        <w:t xml:space="preserve"> </w:t>
      </w:r>
    </w:p>
    <w:p w14:paraId="24CA7886" w14:textId="281DE5F7" w:rsidR="00B16C13" w:rsidRPr="002A3C19" w:rsidRDefault="00B16C13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color w:val="000000" w:themeColor="text1"/>
          <w:sz w:val="24"/>
          <w:szCs w:val="24"/>
          <w:lang w:val="ro-RO"/>
        </w:rPr>
        <w:lastRenderedPageBreak/>
        <w:t xml:space="preserve"> </w:t>
      </w:r>
      <w:r w:rsidR="00FA7DE3" w:rsidRPr="002A3C19">
        <w:rPr>
          <w:color w:val="000000" w:themeColor="text1"/>
          <w:sz w:val="24"/>
          <w:szCs w:val="24"/>
          <w:lang w:val="ro-RO"/>
        </w:rPr>
        <w:t>(</w:t>
      </w:r>
      <w:r w:rsidR="001251A8" w:rsidRPr="002A3C19">
        <w:rPr>
          <w:color w:val="000000" w:themeColor="text1"/>
          <w:sz w:val="24"/>
          <w:szCs w:val="24"/>
          <w:lang w:val="ro-RO"/>
        </w:rPr>
        <w:t>6</w:t>
      </w:r>
      <w:r w:rsidR="00FA7DE3" w:rsidRPr="002A3C19">
        <w:rPr>
          <w:color w:val="000000" w:themeColor="text1"/>
          <w:sz w:val="24"/>
          <w:szCs w:val="24"/>
          <w:lang w:val="ro-RO"/>
        </w:rPr>
        <w:t>) Documentele</w:t>
      </w:r>
      <w:r w:rsidR="00D357CE" w:rsidRPr="002A3C19">
        <w:rPr>
          <w:color w:val="000000" w:themeColor="text1"/>
          <w:sz w:val="24"/>
          <w:szCs w:val="24"/>
          <w:lang w:val="ro-RO"/>
        </w:rPr>
        <w:t xml:space="preserve"> care 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D357CE" w:rsidRPr="002A3C19">
        <w:rPr>
          <w:color w:val="000000" w:themeColor="text1"/>
          <w:sz w:val="24"/>
          <w:szCs w:val="24"/>
          <w:lang w:val="ro-RO"/>
        </w:rPr>
        <w:t>in informa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D357CE" w:rsidRPr="002A3C19">
        <w:rPr>
          <w:color w:val="000000" w:themeColor="text1"/>
          <w:sz w:val="24"/>
          <w:szCs w:val="24"/>
          <w:lang w:val="ro-RO"/>
        </w:rPr>
        <w:t>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D357CE" w:rsidRPr="002A3C19">
        <w:rPr>
          <w:color w:val="000000" w:themeColor="text1"/>
          <w:sz w:val="24"/>
          <w:szCs w:val="24"/>
          <w:lang w:val="ro-RO"/>
        </w:rPr>
        <w:t xml:space="preserve">iale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D357CE" w:rsidRPr="002A3C19">
        <w:rPr>
          <w:color w:val="000000" w:themeColor="text1"/>
          <w:sz w:val="24"/>
          <w:szCs w:val="24"/>
          <w:lang w:val="ro-RO"/>
        </w:rPr>
        <w:t>i</w:t>
      </w:r>
      <w:r w:rsidR="00FA7DE3" w:rsidRPr="002A3C19">
        <w:rPr>
          <w:color w:val="000000" w:themeColor="text1"/>
          <w:sz w:val="24"/>
          <w:szCs w:val="24"/>
          <w:lang w:val="ro-RO"/>
        </w:rPr>
        <w:t xml:space="preserve"> care </w:t>
      </w:r>
      <w:r w:rsidR="00D357CE" w:rsidRPr="002A3C19">
        <w:rPr>
          <w:color w:val="000000" w:themeColor="text1"/>
          <w:sz w:val="24"/>
          <w:szCs w:val="24"/>
          <w:lang w:val="ro-RO"/>
        </w:rPr>
        <w:t>sunt transmise</w:t>
      </w:r>
      <w:r w:rsidR="00FA7DE3" w:rsidRPr="002A3C19">
        <w:rPr>
          <w:color w:val="000000" w:themeColor="text1"/>
          <w:sz w:val="24"/>
          <w:szCs w:val="24"/>
          <w:lang w:val="ro-RO"/>
        </w:rPr>
        <w:t xml:space="preserve"> în format electronic sau letric </w:t>
      </w:r>
      <w:r w:rsidR="00D357CE" w:rsidRPr="002A3C19">
        <w:rPr>
          <w:color w:val="000000" w:themeColor="text1"/>
          <w:sz w:val="24"/>
          <w:szCs w:val="24"/>
          <w:lang w:val="ro-RO"/>
        </w:rPr>
        <w:t>de către</w:t>
      </w:r>
      <w:r w:rsidR="00FA7DE3" w:rsidRPr="002A3C19">
        <w:rPr>
          <w:color w:val="000000" w:themeColor="text1"/>
          <w:sz w:val="24"/>
          <w:szCs w:val="24"/>
          <w:lang w:val="ro-RO"/>
        </w:rPr>
        <w:t xml:space="preserve"> ANRE</w:t>
      </w:r>
      <w:r w:rsidR="00D357CE" w:rsidRPr="002A3C19">
        <w:rPr>
          <w:color w:val="000000" w:themeColor="text1"/>
          <w:sz w:val="24"/>
          <w:szCs w:val="24"/>
          <w:lang w:val="ro-RO"/>
        </w:rPr>
        <w:t xml:space="preserve"> destinatari</w:t>
      </w:r>
      <w:r w:rsidR="001251A8" w:rsidRPr="002A3C19">
        <w:rPr>
          <w:color w:val="000000" w:themeColor="text1"/>
          <w:sz w:val="24"/>
          <w:szCs w:val="24"/>
          <w:lang w:val="ro-RO"/>
        </w:rPr>
        <w:t>l</w:t>
      </w:r>
      <w:r w:rsidR="00D357CE" w:rsidRPr="002A3C19">
        <w:rPr>
          <w:color w:val="000000" w:themeColor="text1"/>
          <w:sz w:val="24"/>
          <w:szCs w:val="24"/>
          <w:lang w:val="ro-RO"/>
        </w:rPr>
        <w:t>or prevăzu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D357CE" w:rsidRPr="002A3C19">
        <w:rPr>
          <w:color w:val="000000" w:themeColor="text1"/>
          <w:sz w:val="24"/>
          <w:szCs w:val="24"/>
          <w:lang w:val="ro-RO"/>
        </w:rPr>
        <w:t>i la art. 7 alin. (4) din Ordonan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D357CE" w:rsidRPr="002A3C19">
        <w:rPr>
          <w:color w:val="000000" w:themeColor="text1"/>
          <w:sz w:val="24"/>
          <w:szCs w:val="24"/>
          <w:lang w:val="ro-RO"/>
        </w:rPr>
        <w:t>a de urgen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D357CE" w:rsidRPr="002A3C19">
        <w:rPr>
          <w:color w:val="000000" w:themeColor="text1"/>
          <w:sz w:val="24"/>
          <w:szCs w:val="24"/>
          <w:lang w:val="ro-RO"/>
        </w:rPr>
        <w:t xml:space="preserve">ă a Guvernului nr. 33/2007, aprobată cu modificări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D357CE" w:rsidRPr="002A3C19">
        <w:rPr>
          <w:color w:val="000000" w:themeColor="text1"/>
          <w:sz w:val="24"/>
          <w:szCs w:val="24"/>
          <w:lang w:val="ro-RO"/>
        </w:rPr>
        <w:t xml:space="preserve">i completări prin Legea nr. 160/2012, cu modificările </w:t>
      </w:r>
      <w:r w:rsidR="002A3C19">
        <w:rPr>
          <w:color w:val="000000" w:themeColor="text1"/>
          <w:sz w:val="24"/>
          <w:szCs w:val="24"/>
          <w:lang w:val="ro-RO"/>
        </w:rPr>
        <w:t>ș</w:t>
      </w:r>
      <w:r w:rsidR="00D357CE" w:rsidRPr="002A3C19">
        <w:rPr>
          <w:color w:val="000000" w:themeColor="text1"/>
          <w:sz w:val="24"/>
          <w:szCs w:val="24"/>
          <w:lang w:val="ro-RO"/>
        </w:rPr>
        <w:t>i completările ulterioare</w:t>
      </w:r>
      <w:r w:rsidR="001454FB" w:rsidRPr="002A3C19">
        <w:rPr>
          <w:color w:val="000000" w:themeColor="text1"/>
          <w:sz w:val="24"/>
          <w:szCs w:val="24"/>
          <w:lang w:val="ro-RO"/>
        </w:rPr>
        <w:t>,</w:t>
      </w:r>
      <w:r w:rsidR="00D357CE" w:rsidRPr="002A3C19">
        <w:rPr>
          <w:color w:val="000000" w:themeColor="text1"/>
          <w:sz w:val="24"/>
          <w:szCs w:val="24"/>
          <w:lang w:val="ro-RO"/>
        </w:rPr>
        <w:t xml:space="preserve"> </w:t>
      </w:r>
      <w:r w:rsidR="00FA7DE3" w:rsidRPr="002A3C19">
        <w:rPr>
          <w:color w:val="000000" w:themeColor="text1"/>
          <w:sz w:val="24"/>
          <w:szCs w:val="24"/>
          <w:lang w:val="ro-RO"/>
        </w:rPr>
        <w:t xml:space="preserve">vor </w:t>
      </w:r>
      <w:r w:rsidR="005377C2" w:rsidRPr="002A3C19">
        <w:rPr>
          <w:color w:val="000000" w:themeColor="text1"/>
          <w:sz w:val="24"/>
          <w:szCs w:val="24"/>
          <w:lang w:val="ro-RO"/>
        </w:rPr>
        <w:t>fi marcate cu men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B56D4B" w:rsidRPr="002A3C19">
        <w:rPr>
          <w:color w:val="000000" w:themeColor="text1"/>
          <w:sz w:val="24"/>
          <w:szCs w:val="24"/>
          <w:lang w:val="ro-RO"/>
        </w:rPr>
        <w:t>iunea “Con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B56D4B" w:rsidRPr="002A3C19">
        <w:rPr>
          <w:color w:val="000000" w:themeColor="text1"/>
          <w:sz w:val="24"/>
          <w:szCs w:val="24"/>
          <w:lang w:val="ro-RO"/>
        </w:rPr>
        <w:t>ine informatii confiden</w:t>
      </w:r>
      <w:r w:rsidR="002A3C19">
        <w:rPr>
          <w:color w:val="000000" w:themeColor="text1"/>
          <w:sz w:val="24"/>
          <w:szCs w:val="24"/>
          <w:lang w:val="ro-RO"/>
        </w:rPr>
        <w:t>ț</w:t>
      </w:r>
      <w:r w:rsidR="00B56D4B" w:rsidRPr="002A3C19">
        <w:rPr>
          <w:color w:val="000000" w:themeColor="text1"/>
          <w:sz w:val="24"/>
          <w:szCs w:val="24"/>
          <w:lang w:val="ro-RO"/>
        </w:rPr>
        <w:t>iale”</w:t>
      </w:r>
      <w:r w:rsidR="00C95513" w:rsidRPr="002A3C19">
        <w:rPr>
          <w:color w:val="000000" w:themeColor="text1"/>
          <w:sz w:val="24"/>
          <w:szCs w:val="24"/>
          <w:lang w:val="ro-RO"/>
        </w:rPr>
        <w:t>,</w:t>
      </w:r>
      <w:r w:rsidR="00B56D4B" w:rsidRPr="002A3C19">
        <w:rPr>
          <w:color w:val="000000" w:themeColor="text1"/>
          <w:sz w:val="24"/>
          <w:szCs w:val="24"/>
          <w:lang w:val="ro-RO"/>
        </w:rPr>
        <w:t xml:space="preserve"> inclusiv plicul.</w:t>
      </w:r>
    </w:p>
    <w:p w14:paraId="7151D2AF" w14:textId="77777777" w:rsidR="00163D10" w:rsidRPr="002A3C19" w:rsidRDefault="00163D10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6B0C7743" w14:textId="77777777" w:rsidR="00B75D4F" w:rsidRPr="002A3C19" w:rsidRDefault="00B75D4F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CAPITOLUL </w:t>
      </w:r>
      <w:r w:rsidR="00FE498E" w:rsidRPr="002A3C19">
        <w:rPr>
          <w:b/>
          <w:color w:val="000000" w:themeColor="text1"/>
          <w:sz w:val="24"/>
          <w:szCs w:val="24"/>
          <w:lang w:val="ro-RO"/>
        </w:rPr>
        <w:t>V</w:t>
      </w:r>
    </w:p>
    <w:p w14:paraId="58483090" w14:textId="7CF8BC43" w:rsidR="00B75D4F" w:rsidRPr="002A3C19" w:rsidRDefault="00B75D4F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>Dispozi</w:t>
      </w:r>
      <w:r w:rsidR="002A3C19">
        <w:rPr>
          <w:b/>
          <w:color w:val="000000" w:themeColor="text1"/>
          <w:sz w:val="24"/>
          <w:szCs w:val="24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lang w:val="ro-RO"/>
        </w:rPr>
        <w:t xml:space="preserve">ii </w:t>
      </w:r>
      <w:r w:rsidR="00046DFA" w:rsidRPr="002A3C19">
        <w:rPr>
          <w:b/>
          <w:color w:val="000000" w:themeColor="text1"/>
          <w:sz w:val="24"/>
          <w:szCs w:val="24"/>
          <w:lang w:val="ro-RO"/>
        </w:rPr>
        <w:t xml:space="preserve">tranzitorii </w:t>
      </w:r>
      <w:r w:rsidR="002A3C19">
        <w:rPr>
          <w:b/>
          <w:color w:val="000000" w:themeColor="text1"/>
          <w:sz w:val="24"/>
          <w:szCs w:val="24"/>
          <w:lang w:val="ro-RO"/>
        </w:rPr>
        <w:t>ș</w:t>
      </w:r>
      <w:r w:rsidR="00046DFA" w:rsidRPr="002A3C19">
        <w:rPr>
          <w:b/>
          <w:color w:val="000000" w:themeColor="text1"/>
          <w:sz w:val="24"/>
          <w:szCs w:val="24"/>
          <w:lang w:val="ro-RO"/>
        </w:rPr>
        <w:t xml:space="preserve">i </w:t>
      </w:r>
      <w:r w:rsidRPr="002A3C19">
        <w:rPr>
          <w:b/>
          <w:color w:val="000000" w:themeColor="text1"/>
          <w:sz w:val="24"/>
          <w:szCs w:val="24"/>
          <w:lang w:val="ro-RO"/>
        </w:rPr>
        <w:t>finale</w:t>
      </w:r>
    </w:p>
    <w:p w14:paraId="647BDB74" w14:textId="77777777" w:rsidR="00B75D4F" w:rsidRPr="002A3C19" w:rsidRDefault="00B75D4F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7E9ED47E" w14:textId="0ADF4F3C" w:rsidR="00B75D4F" w:rsidRPr="002A3C19" w:rsidRDefault="00B75D4F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6</w:t>
      </w:r>
      <w:r w:rsidRPr="002A3C19">
        <w:rPr>
          <w:b/>
          <w:color w:val="000000" w:themeColor="text1"/>
          <w:sz w:val="24"/>
          <w:szCs w:val="24"/>
          <w:lang w:val="ro-RO"/>
        </w:rPr>
        <w:t>.</w:t>
      </w:r>
      <w:r w:rsidRPr="002A3C19">
        <w:rPr>
          <w:color w:val="000000" w:themeColor="text1"/>
          <w:sz w:val="24"/>
          <w:szCs w:val="24"/>
          <w:lang w:val="ro-RO"/>
        </w:rPr>
        <w:t xml:space="preserve"> – Prezentul regulament </w:t>
      </w:r>
      <w:r w:rsidR="00A15A4A">
        <w:rPr>
          <w:color w:val="000000" w:themeColor="text1"/>
          <w:sz w:val="24"/>
          <w:szCs w:val="24"/>
          <w:lang w:val="ro-RO"/>
        </w:rPr>
        <w:t xml:space="preserve">nu </w:t>
      </w:r>
      <w:r w:rsidRPr="002A3C19">
        <w:rPr>
          <w:color w:val="000000" w:themeColor="text1"/>
          <w:sz w:val="24"/>
          <w:szCs w:val="24"/>
          <w:lang w:val="ro-RO"/>
        </w:rPr>
        <w:t xml:space="preserve">se aplică documentelor </w:t>
      </w:r>
      <w:r w:rsidR="00EF0D07">
        <w:rPr>
          <w:color w:val="000000" w:themeColor="text1"/>
          <w:sz w:val="24"/>
          <w:szCs w:val="24"/>
          <w:lang w:val="ro-RO"/>
        </w:rPr>
        <w:t xml:space="preserve">deja transmise către </w:t>
      </w:r>
      <w:r w:rsidRPr="002A3C19">
        <w:rPr>
          <w:color w:val="000000" w:themeColor="text1"/>
          <w:sz w:val="24"/>
          <w:szCs w:val="24"/>
          <w:lang w:val="ro-RO"/>
        </w:rPr>
        <w:t xml:space="preserve"> ANRE la data intrării în vigoare a prezentului ordin.</w:t>
      </w:r>
    </w:p>
    <w:p w14:paraId="2E4AE06F" w14:textId="77777777" w:rsidR="000916C4" w:rsidRPr="002A3C19" w:rsidRDefault="000916C4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73476099" w14:textId="0FE5C04F" w:rsidR="007840FF" w:rsidRPr="002A3C19" w:rsidRDefault="007840FF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A3C19">
        <w:rPr>
          <w:b/>
          <w:color w:val="000000" w:themeColor="text1"/>
          <w:sz w:val="24"/>
          <w:szCs w:val="24"/>
          <w:lang w:val="ro-RO"/>
        </w:rPr>
        <w:t xml:space="preserve">Art. </w:t>
      </w:r>
      <w:r w:rsidR="007618E8">
        <w:rPr>
          <w:b/>
          <w:color w:val="000000" w:themeColor="text1"/>
          <w:sz w:val="24"/>
          <w:szCs w:val="24"/>
          <w:lang w:val="ro-RO"/>
        </w:rPr>
        <w:t>7</w:t>
      </w:r>
      <w:r w:rsidRPr="002A3C19">
        <w:rPr>
          <w:color w:val="000000" w:themeColor="text1"/>
          <w:sz w:val="24"/>
          <w:szCs w:val="24"/>
          <w:lang w:val="ro-RO"/>
        </w:rPr>
        <w:t xml:space="preserve">. </w:t>
      </w:r>
      <w:r w:rsidR="00837F81" w:rsidRPr="002A3C19">
        <w:rPr>
          <w:color w:val="000000" w:themeColor="text1"/>
          <w:sz w:val="24"/>
          <w:szCs w:val="24"/>
          <w:lang w:val="ro-RO"/>
        </w:rPr>
        <w:t>–</w:t>
      </w:r>
      <w:r w:rsidRPr="002A3C19">
        <w:rPr>
          <w:color w:val="000000" w:themeColor="text1"/>
          <w:sz w:val="24"/>
          <w:szCs w:val="24"/>
          <w:lang w:val="ro-RO"/>
        </w:rPr>
        <w:t xml:space="preserve"> Anexa face parte integrantă din prezentul regulament.</w:t>
      </w:r>
    </w:p>
    <w:p w14:paraId="1F64DFCF" w14:textId="77777777" w:rsidR="00C73ABB" w:rsidRPr="002A3C19" w:rsidRDefault="00C73ABB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7BEAC962" w14:textId="77777777" w:rsidR="0078511B" w:rsidRPr="002A3C19" w:rsidRDefault="0078511B" w:rsidP="00AE113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793CB5DA" w14:textId="77777777" w:rsidR="00C73ABB" w:rsidRPr="002A3C19" w:rsidRDefault="00C73ABB" w:rsidP="00AE1131">
      <w:pPr>
        <w:spacing w:line="360" w:lineRule="auto"/>
        <w:jc w:val="right"/>
        <w:rPr>
          <w:color w:val="000000" w:themeColor="text1"/>
          <w:sz w:val="24"/>
          <w:szCs w:val="24"/>
          <w:u w:val="single"/>
          <w:lang w:val="ro-RO"/>
        </w:rPr>
      </w:pPr>
      <w:r w:rsidRPr="002A3C19">
        <w:rPr>
          <w:color w:val="000000" w:themeColor="text1"/>
          <w:sz w:val="24"/>
          <w:szCs w:val="24"/>
          <w:u w:val="single"/>
          <w:lang w:val="ro-RO"/>
        </w:rPr>
        <w:t>Anexă la regulament</w:t>
      </w:r>
    </w:p>
    <w:p w14:paraId="291952C6" w14:textId="77777777" w:rsidR="00C73ABB" w:rsidRPr="002A3C19" w:rsidRDefault="00C73ABB" w:rsidP="00AE1131">
      <w:pPr>
        <w:spacing w:line="360" w:lineRule="auto"/>
        <w:jc w:val="right"/>
        <w:rPr>
          <w:color w:val="000000" w:themeColor="text1"/>
          <w:sz w:val="24"/>
          <w:szCs w:val="24"/>
          <w:u w:val="single"/>
          <w:lang w:val="ro-RO"/>
        </w:rPr>
      </w:pPr>
    </w:p>
    <w:p w14:paraId="4B894308" w14:textId="20B21C12" w:rsidR="00C73ABB" w:rsidRPr="002A3C19" w:rsidRDefault="00C73ABB" w:rsidP="00AE1131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  <w:lang w:val="ro-RO"/>
        </w:rPr>
      </w:pPr>
      <w:r w:rsidRPr="002A3C19">
        <w:rPr>
          <w:b/>
          <w:color w:val="000000" w:themeColor="text1"/>
          <w:sz w:val="24"/>
          <w:szCs w:val="24"/>
          <w:u w:val="single"/>
          <w:lang w:val="ro-RO"/>
        </w:rPr>
        <w:t>Categoriile de informa</w:t>
      </w:r>
      <w:r w:rsidR="002A3C19">
        <w:rPr>
          <w:b/>
          <w:color w:val="000000" w:themeColor="text1"/>
          <w:sz w:val="24"/>
          <w:szCs w:val="24"/>
          <w:u w:val="single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u w:val="single"/>
          <w:lang w:val="ro-RO"/>
        </w:rPr>
        <w:t>ii/documente confiden</w:t>
      </w:r>
      <w:r w:rsidR="002A3C19">
        <w:rPr>
          <w:b/>
          <w:color w:val="000000" w:themeColor="text1"/>
          <w:sz w:val="24"/>
          <w:szCs w:val="24"/>
          <w:u w:val="single"/>
          <w:lang w:val="ro-RO"/>
        </w:rPr>
        <w:t>ț</w:t>
      </w:r>
      <w:r w:rsidRPr="002A3C19">
        <w:rPr>
          <w:b/>
          <w:color w:val="000000" w:themeColor="text1"/>
          <w:sz w:val="24"/>
          <w:szCs w:val="24"/>
          <w:u w:val="single"/>
          <w:lang w:val="ro-RO"/>
        </w:rPr>
        <w:t>iale</w:t>
      </w:r>
    </w:p>
    <w:p w14:paraId="6BDD6039" w14:textId="77777777" w:rsidR="00C73ABB" w:rsidRPr="002A3C19" w:rsidRDefault="00C73ABB" w:rsidP="00AE1131">
      <w:pPr>
        <w:spacing w:line="360" w:lineRule="auto"/>
        <w:jc w:val="center"/>
        <w:rPr>
          <w:color w:val="000000" w:themeColor="text1"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941" w:rsidRPr="002A3C19" w14:paraId="60DF700D" w14:textId="77777777" w:rsidTr="00997256">
        <w:tc>
          <w:tcPr>
            <w:tcW w:w="9016" w:type="dxa"/>
          </w:tcPr>
          <w:p w14:paraId="26C14E24" w14:textId="4B6F4588" w:rsidR="00C73ABB" w:rsidRPr="002A3C19" w:rsidRDefault="00253E8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dosarele privind litigiile în care institu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 este parte</w:t>
            </w:r>
          </w:p>
        </w:tc>
      </w:tr>
      <w:tr w:rsidR="00252941" w:rsidRPr="002A3C19" w14:paraId="098C65E2" w14:textId="77777777" w:rsidTr="00997256">
        <w:tc>
          <w:tcPr>
            <w:tcW w:w="9016" w:type="dxa"/>
          </w:tcPr>
          <w:p w14:paraId="51E99881" w14:textId="27777307" w:rsidR="00253E82" w:rsidRPr="002A3C19" w:rsidRDefault="009D38B6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informa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iale</w:t>
            </w:r>
            <w:r w:rsidR="004A596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din documentele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întocm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ite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înainte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, în timpul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sau în urma desfă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urării ac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iunilor de control (note de necesitate, note de sesizare, mandate de control/sanc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ionare, în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tiin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ări privind ac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iunile de control, coresponden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ă, rapoarte de control, procese-verbale de constatare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 sanc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ionare a contraven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iilor, referate privind propunerea de suspendare/retragere a licen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elor/atestatelor/autoriza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53E82" w:rsidRPr="002A3C19">
              <w:rPr>
                <w:color w:val="000000" w:themeColor="text1"/>
                <w:sz w:val="24"/>
                <w:szCs w:val="24"/>
                <w:lang w:val="ro-RO"/>
              </w:rPr>
              <w:t>iilor)</w:t>
            </w:r>
          </w:p>
        </w:tc>
      </w:tr>
      <w:tr w:rsidR="00252941" w:rsidRPr="002A3C19" w14:paraId="2F9B0E20" w14:textId="77777777" w:rsidTr="00997256">
        <w:tc>
          <w:tcPr>
            <w:tcW w:w="9016" w:type="dxa"/>
          </w:tcPr>
          <w:p w14:paraId="35B659AD" w14:textId="7BA3F924" w:rsidR="00253E82" w:rsidRPr="002A3C19" w:rsidRDefault="00C35E7E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coresponden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ă</w:t>
            </w:r>
            <w:r w:rsidR="00ED76D9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/răspunsuri la solicitările 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persoane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lor fizice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>i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operatori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>lor economici care con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in date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>i informa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>ii primite de la operatorii economici care au specificat caracterul de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34F02" w:rsidRPr="002A3C19">
              <w:rPr>
                <w:color w:val="000000" w:themeColor="text1"/>
                <w:sz w:val="24"/>
                <w:szCs w:val="24"/>
                <w:lang w:val="ro-RO"/>
              </w:rPr>
              <w:t>ialitate</w:t>
            </w:r>
          </w:p>
        </w:tc>
      </w:tr>
      <w:tr w:rsidR="00252941" w:rsidRPr="002A3C19" w14:paraId="5A955BDA" w14:textId="77777777" w:rsidTr="00997256">
        <w:tc>
          <w:tcPr>
            <w:tcW w:w="9016" w:type="dxa"/>
          </w:tcPr>
          <w:p w14:paraId="6A79B804" w14:textId="174637A9" w:rsidR="00234F02" w:rsidRPr="002A3C19" w:rsidRDefault="00234F0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coresponden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ă cu institu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sau autorită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publice na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ionale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interna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ionale</w:t>
            </w:r>
            <w:r w:rsidR="002B2AE3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care au specificat caracterul de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2B2AE3" w:rsidRPr="002A3C19">
              <w:rPr>
                <w:color w:val="000000" w:themeColor="text1"/>
                <w:sz w:val="24"/>
                <w:szCs w:val="24"/>
                <w:lang w:val="ro-RO"/>
              </w:rPr>
              <w:t>ialitate</w:t>
            </w:r>
          </w:p>
        </w:tc>
      </w:tr>
      <w:tr w:rsidR="008D16AB" w:rsidRPr="002A3C19" w14:paraId="168B81D8" w14:textId="77777777" w:rsidTr="00997256">
        <w:tc>
          <w:tcPr>
            <w:tcW w:w="9016" w:type="dxa"/>
          </w:tcPr>
          <w:p w14:paraId="50B04D1F" w14:textId="05D48C72" w:rsidR="008D16AB" w:rsidRPr="002A3C19" w:rsidRDefault="008D16AB" w:rsidP="008D16A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raportările anuale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i/sau lunare ale operatorului de transport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sistem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ale operatorilor de distribu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ie a gazelor naturale cu privire la consumurile tehnologice din sistemele operate de gaze naturale</w:t>
            </w:r>
          </w:p>
        </w:tc>
      </w:tr>
      <w:tr w:rsidR="00252941" w:rsidRPr="002A3C19" w14:paraId="64714E82" w14:textId="77777777" w:rsidTr="00997256">
        <w:tc>
          <w:tcPr>
            <w:tcW w:w="9016" w:type="dxa"/>
          </w:tcPr>
          <w:p w14:paraId="29315407" w14:textId="1DF379F2" w:rsidR="00042231" w:rsidRPr="002A3C19" w:rsidRDefault="00042231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rapoarte ale operatorilor </w:t>
            </w:r>
            <w:r w:rsidR="00EE19EE" w:rsidRPr="002A3C19">
              <w:rPr>
                <w:color w:val="000000" w:themeColor="text1"/>
                <w:sz w:val="24"/>
                <w:szCs w:val="24"/>
                <w:lang w:val="ro-RO"/>
              </w:rPr>
              <w:t>economici, pentru care nu există obliga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EE19EE" w:rsidRPr="002A3C19">
              <w:rPr>
                <w:color w:val="000000" w:themeColor="text1"/>
                <w:sz w:val="24"/>
                <w:szCs w:val="24"/>
                <w:lang w:val="ro-RO"/>
              </w:rPr>
              <w:t>ia de publicare î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n legisla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EE19EE" w:rsidRPr="002A3C19">
              <w:rPr>
                <w:color w:val="000000" w:themeColor="text1"/>
                <w:sz w:val="24"/>
                <w:szCs w:val="24"/>
                <w:lang w:val="ro-RO"/>
              </w:rPr>
              <w:t>ia comunitară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, na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EE19EE" w:rsidRPr="002A3C19">
              <w:rPr>
                <w:color w:val="000000" w:themeColor="text1"/>
                <w:sz w:val="24"/>
                <w:szCs w:val="24"/>
                <w:lang w:val="ro-RO"/>
              </w:rPr>
              <w:t>ională sau în cea emisă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de ANRE</w:t>
            </w:r>
          </w:p>
        </w:tc>
      </w:tr>
      <w:tr w:rsidR="00252941" w:rsidRPr="002A3C19" w14:paraId="52E3550A" w14:textId="77777777" w:rsidTr="00997256">
        <w:tc>
          <w:tcPr>
            <w:tcW w:w="9016" w:type="dxa"/>
          </w:tcPr>
          <w:p w14:paraId="702191CD" w14:textId="5661344E" w:rsidR="00BE6A8E" w:rsidRPr="002A3C19" w:rsidRDefault="00EE19EE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contracte de achizi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BE6A8E" w:rsidRPr="002A3C19">
              <w:rPr>
                <w:color w:val="000000" w:themeColor="text1"/>
                <w:sz w:val="24"/>
                <w:szCs w:val="24"/>
                <w:lang w:val="ro-RO"/>
              </w:rPr>
              <w:t>ie g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aze naturale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i/sau de vânzare-cumpărare gaze naturale î</w:t>
            </w:r>
            <w:r w:rsidR="00BE6A8E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ncheiate cu furnizorii 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de gaze naturale transmise de către cumpără</w:t>
            </w:r>
            <w:r w:rsidR="00BE6A8E" w:rsidRPr="002A3C19">
              <w:rPr>
                <w:color w:val="000000" w:themeColor="text1"/>
                <w:sz w:val="24"/>
                <w:szCs w:val="24"/>
                <w:lang w:val="ro-RO"/>
              </w:rPr>
              <w:t>tor</w:t>
            </w:r>
          </w:p>
        </w:tc>
      </w:tr>
      <w:tr w:rsidR="00252941" w:rsidRPr="002A3C19" w14:paraId="41ED26C2" w14:textId="77777777" w:rsidTr="00997256">
        <w:tc>
          <w:tcPr>
            <w:tcW w:w="9016" w:type="dxa"/>
          </w:tcPr>
          <w:p w14:paraId="5F14F44D" w14:textId="7A10CD9C" w:rsidR="00067532" w:rsidRPr="002A3C19" w:rsidRDefault="001B5FF4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</w:t>
            </w:r>
            <w:r w:rsidR="00067532" w:rsidRPr="002A3C19">
              <w:rPr>
                <w:color w:val="000000" w:themeColor="text1"/>
                <w:sz w:val="24"/>
                <w:szCs w:val="24"/>
                <w:lang w:val="ro-RO"/>
              </w:rPr>
              <w:t>ocumente transmise de ACER/CEER reprezentan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067532" w:rsidRPr="002A3C19">
              <w:rPr>
                <w:color w:val="000000" w:themeColor="text1"/>
                <w:sz w:val="24"/>
                <w:szCs w:val="24"/>
                <w:lang w:val="ro-RO"/>
              </w:rPr>
              <w:t>ilor ANRE ca urmare a participării la grupurile de lucru</w:t>
            </w:r>
          </w:p>
        </w:tc>
      </w:tr>
      <w:tr w:rsidR="00252941" w:rsidRPr="002A3C19" w14:paraId="0D7655A7" w14:textId="77777777" w:rsidTr="00997256">
        <w:tc>
          <w:tcPr>
            <w:tcW w:w="9016" w:type="dxa"/>
          </w:tcPr>
          <w:p w14:paraId="7E07D4A9" w14:textId="3E55010F" w:rsidR="00F712CA" w:rsidRPr="002A3C19" w:rsidRDefault="00F712CA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rapoarte</w:t>
            </w:r>
            <w:r w:rsidR="006E49D8" w:rsidRPr="002A3C19">
              <w:rPr>
                <w:color w:val="000000" w:themeColor="text1"/>
                <w:sz w:val="24"/>
                <w:szCs w:val="24"/>
                <w:lang w:val="ro-RO"/>
              </w:rPr>
              <w:t>/referate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de pre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uri/tarife reglementate</w:t>
            </w:r>
          </w:p>
        </w:tc>
      </w:tr>
      <w:tr w:rsidR="00252941" w:rsidRPr="002A3C19" w14:paraId="058DBE36" w14:textId="77777777" w:rsidTr="00997256">
        <w:tc>
          <w:tcPr>
            <w:tcW w:w="9016" w:type="dxa"/>
          </w:tcPr>
          <w:p w14:paraId="6B6E67B7" w14:textId="1F5FFF93" w:rsidR="00F712CA" w:rsidRPr="002A3C19" w:rsidRDefault="00F712CA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eviden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 contabile reglementate</w:t>
            </w:r>
          </w:p>
        </w:tc>
      </w:tr>
      <w:tr w:rsidR="00252941" w:rsidRPr="002A3C19" w14:paraId="489C0EF8" w14:textId="77777777" w:rsidTr="00997256">
        <w:tc>
          <w:tcPr>
            <w:tcW w:w="9016" w:type="dxa"/>
          </w:tcPr>
          <w:p w14:paraId="4B7E5552" w14:textId="2674C2A4" w:rsidR="00F712CA" w:rsidRPr="002A3C19" w:rsidRDefault="00F712CA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rapoarte de separare contabilă</w:t>
            </w:r>
          </w:p>
        </w:tc>
      </w:tr>
      <w:tr w:rsidR="00252941" w:rsidRPr="002A3C19" w14:paraId="12D32133" w14:textId="77777777" w:rsidTr="00997256">
        <w:tc>
          <w:tcPr>
            <w:tcW w:w="9016" w:type="dxa"/>
          </w:tcPr>
          <w:p w14:paraId="25F71451" w14:textId="7C76E041" w:rsidR="00AE03E8" w:rsidRPr="002A3C19" w:rsidRDefault="00AE03E8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documentele care atestă îndeplinirea criteriilor de capabilitate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ofertele de pre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 depuse de către furnizorii candida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la procesul de selec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ie pentru desemnarea furnizorului de ultimă instan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ă de gaze naturale</w:t>
            </w:r>
          </w:p>
        </w:tc>
      </w:tr>
      <w:tr w:rsidR="00252941" w:rsidRPr="002A3C19" w14:paraId="13A6E149" w14:textId="77777777" w:rsidTr="00997256">
        <w:tc>
          <w:tcPr>
            <w:tcW w:w="9016" w:type="dxa"/>
          </w:tcPr>
          <w:p w14:paraId="36C08B25" w14:textId="700136B1" w:rsidR="00DD079F" w:rsidRPr="002A3C19" w:rsidRDefault="00DD079F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declara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iile producătorilor pentru realizarea etichetării energiei electrice</w:t>
            </w:r>
          </w:p>
        </w:tc>
      </w:tr>
      <w:tr w:rsidR="00252941" w:rsidRPr="002A3C19" w14:paraId="791E65C7" w14:textId="77777777" w:rsidTr="00997256">
        <w:tc>
          <w:tcPr>
            <w:tcW w:w="9016" w:type="dxa"/>
          </w:tcPr>
          <w:p w14:paraId="041D7501" w14:textId="263693E3" w:rsidR="00AE03E8" w:rsidRPr="002A3C19" w:rsidRDefault="00DD079F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date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informa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solicitate de ANRE participan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ilor la pia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a de energie electrică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gaze naturale</w:t>
            </w:r>
            <w:r w:rsidR="008B25BC">
              <w:rPr>
                <w:color w:val="000000" w:themeColor="text1"/>
                <w:sz w:val="24"/>
                <w:szCs w:val="24"/>
                <w:lang w:val="ro-RO"/>
              </w:rPr>
              <w:t xml:space="preserve"> ș</w:t>
            </w:r>
            <w:r w:rsidR="008B25BC" w:rsidRPr="008B25BC">
              <w:rPr>
                <w:color w:val="000000" w:themeColor="text1"/>
                <w:sz w:val="24"/>
                <w:szCs w:val="24"/>
                <w:lang w:val="ro-RO"/>
              </w:rPr>
              <w:t>i operatorilor pie</w:t>
            </w:r>
            <w:r w:rsidR="008B25BC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8B25BC" w:rsidRPr="008B25BC">
              <w:rPr>
                <w:color w:val="000000" w:themeColor="text1"/>
                <w:sz w:val="24"/>
                <w:szCs w:val="24"/>
                <w:lang w:val="ro-RO"/>
              </w:rPr>
              <w:t>elor organizate de energie electric</w:t>
            </w:r>
            <w:r w:rsidR="008B25BC">
              <w:rPr>
                <w:color w:val="000000" w:themeColor="text1"/>
                <w:sz w:val="24"/>
                <w:szCs w:val="24"/>
                <w:lang w:val="ro-RO"/>
              </w:rPr>
              <w:t>ă</w:t>
            </w:r>
            <w:r w:rsidR="008B25BC" w:rsidRPr="008B25BC">
              <w:rPr>
                <w:color w:val="000000" w:themeColor="text1"/>
                <w:sz w:val="24"/>
                <w:szCs w:val="24"/>
                <w:lang w:val="ro-RO"/>
              </w:rPr>
              <w:t xml:space="preserve"> sau gaze naturale care se circumscriu defini</w:t>
            </w:r>
            <w:r w:rsidR="008B25BC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8B25BC" w:rsidRPr="008B25BC">
              <w:rPr>
                <w:color w:val="000000" w:themeColor="text1"/>
                <w:sz w:val="24"/>
                <w:szCs w:val="24"/>
                <w:lang w:val="ro-RO"/>
              </w:rPr>
              <w:t>iei informa</w:t>
            </w:r>
            <w:r w:rsidR="008B25BC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8B25BC" w:rsidRPr="008B25BC">
              <w:rPr>
                <w:color w:val="000000" w:themeColor="text1"/>
                <w:sz w:val="24"/>
                <w:szCs w:val="24"/>
                <w:lang w:val="ro-RO"/>
              </w:rPr>
              <w:t>iei confiden</w:t>
            </w:r>
            <w:r w:rsidR="008B25BC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8B25BC" w:rsidRPr="008B25BC">
              <w:rPr>
                <w:color w:val="000000" w:themeColor="text1"/>
                <w:sz w:val="24"/>
                <w:szCs w:val="24"/>
                <w:lang w:val="ro-RO"/>
              </w:rPr>
              <w:t>iale</w:t>
            </w:r>
            <w:r w:rsidR="00997256">
              <w:rPr>
                <w:color w:val="000000" w:themeColor="text1"/>
                <w:sz w:val="24"/>
                <w:szCs w:val="24"/>
                <w:lang w:val="ro-RO"/>
              </w:rPr>
              <w:t>, cu excepția celor stabilite prin lege ca având un caracter public</w:t>
            </w:r>
          </w:p>
        </w:tc>
      </w:tr>
      <w:tr w:rsidR="00252941" w:rsidRPr="002A3C19" w14:paraId="7AB8534F" w14:textId="77777777" w:rsidTr="00997256">
        <w:trPr>
          <w:trHeight w:val="722"/>
        </w:trPr>
        <w:tc>
          <w:tcPr>
            <w:tcW w:w="9016" w:type="dxa"/>
          </w:tcPr>
          <w:p w14:paraId="5D17F253" w14:textId="49EF9931" w:rsidR="007D5175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ncheierea de autentificare emisă</w:t>
            </w:r>
            <w:r w:rsidR="00062AD8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 de către Curtea de Apel Bucure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ti</w:t>
            </w:r>
            <w:r w:rsidR="007D5175" w:rsidRPr="002A3C19">
              <w:rPr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(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>autorizarea judiciară pentru accesul la sediul social-secundar al operatorului supus ac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>iunii de investiga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>ie-inspec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>i preluarea-ridicarea datelor/informa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iilor/documentelor cu utilizarea echipamentelor hardware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color w:val="000000" w:themeColor="text1"/>
                <w:sz w:val="24"/>
                <w:szCs w:val="24"/>
                <w:lang w:val="ro-RO"/>
              </w:rPr>
              <w:t>i software din dotarea ANRE)</w:t>
            </w:r>
          </w:p>
        </w:tc>
      </w:tr>
      <w:tr w:rsidR="00252941" w:rsidRPr="002A3C19" w14:paraId="7E52CB99" w14:textId="77777777" w:rsidTr="00997256">
        <w:trPr>
          <w:trHeight w:val="722"/>
        </w:trPr>
        <w:tc>
          <w:tcPr>
            <w:tcW w:w="9016" w:type="dxa"/>
          </w:tcPr>
          <w:p w14:paraId="0C60F2E4" w14:textId="55C2612C" w:rsidR="007D5175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ncheierea de autentificare emisă</w:t>
            </w:r>
            <w:r w:rsidR="00062AD8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 de către Curtea de Apel Bucure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ti (autorizarea judiciară pentru desigilarea probelor sigilate în plicuri înseriate, accesarea, selectarea 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 extragerea datelor/informa</w:t>
            </w:r>
            <w:r w:rsidR="004E43C8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iilor/documentelor cu utilizarea echipamentelor hardware 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 software din dotarea ANRE)</w:t>
            </w:r>
          </w:p>
        </w:tc>
      </w:tr>
      <w:tr w:rsidR="00252941" w:rsidRPr="002A3C19" w14:paraId="0F019B75" w14:textId="77777777" w:rsidTr="00997256">
        <w:trPr>
          <w:trHeight w:val="722"/>
        </w:trPr>
        <w:tc>
          <w:tcPr>
            <w:tcW w:w="9016" w:type="dxa"/>
          </w:tcPr>
          <w:p w14:paraId="4959A451" w14:textId="3AB97766" w:rsidR="007D5175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procesele-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verbale specifice activită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ii de investiga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ie 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i/sau inspec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ie/inspec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ie inopinată încheiate de către personalul desemnat/împuternicit în acest sens de pre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="007D5175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edintele ANRE</w:t>
            </w:r>
          </w:p>
        </w:tc>
      </w:tr>
      <w:tr w:rsidR="00252941" w:rsidRPr="002A3C19" w14:paraId="53742022" w14:textId="77777777" w:rsidTr="00997256">
        <w:trPr>
          <w:trHeight w:val="722"/>
        </w:trPr>
        <w:tc>
          <w:tcPr>
            <w:tcW w:w="9016" w:type="dxa"/>
          </w:tcPr>
          <w:p w14:paraId="7220128A" w14:textId="51729A4F" w:rsidR="00DF4261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r</w:t>
            </w:r>
            <w:r w:rsidR="00DF4261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aportul de investiga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DF4261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ie </w:t>
            </w:r>
          </w:p>
        </w:tc>
      </w:tr>
      <w:tr w:rsidR="00252941" w:rsidRPr="002A3C19" w14:paraId="2AA13BB4" w14:textId="77777777" w:rsidTr="00997256">
        <w:trPr>
          <w:trHeight w:val="722"/>
        </w:trPr>
        <w:tc>
          <w:tcPr>
            <w:tcW w:w="9016" w:type="dxa"/>
          </w:tcPr>
          <w:p w14:paraId="4C17082B" w14:textId="1167DF80" w:rsidR="00DF4261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d</w:t>
            </w:r>
            <w:r w:rsidR="00DF4261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ecizia de finalizare/închidere a investiga</w:t>
            </w:r>
            <w:r w:rsidR="002A3C19">
              <w:rPr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="00DF4261" w:rsidRPr="002A3C19">
              <w:rPr>
                <w:iCs/>
                <w:color w:val="000000" w:themeColor="text1"/>
                <w:sz w:val="24"/>
                <w:szCs w:val="24"/>
                <w:lang w:val="ro-RO"/>
              </w:rPr>
              <w:t>iei</w:t>
            </w:r>
          </w:p>
        </w:tc>
      </w:tr>
      <w:tr w:rsidR="00252941" w:rsidRPr="002A3C19" w14:paraId="11731066" w14:textId="77777777" w:rsidTr="00997256">
        <w:tc>
          <w:tcPr>
            <w:tcW w:w="9016" w:type="dxa"/>
          </w:tcPr>
          <w:p w14:paraId="4BB59DC9" w14:textId="3E6646E1" w:rsidR="00137F3F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</w:t>
            </w:r>
            <w:r w:rsidR="00137F3F" w:rsidRPr="002A3C19">
              <w:rPr>
                <w:color w:val="000000" w:themeColor="text1"/>
                <w:sz w:val="24"/>
                <w:szCs w:val="24"/>
                <w:lang w:val="ro-RO"/>
              </w:rPr>
              <w:t>ocumente administrative ale societă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137F3F" w:rsidRPr="002A3C19">
              <w:rPr>
                <w:color w:val="000000" w:themeColor="text1"/>
                <w:sz w:val="24"/>
                <w:szCs w:val="24"/>
                <w:lang w:val="ro-RO"/>
              </w:rPr>
              <w:t>ii care nu pot fi publicate pe pagina d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 internet proprie a societă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  <w:tr w:rsidR="00252941" w:rsidRPr="002A3C19" w14:paraId="5F08EC3B" w14:textId="77777777" w:rsidTr="00997256">
        <w:tc>
          <w:tcPr>
            <w:tcW w:w="9016" w:type="dxa"/>
          </w:tcPr>
          <w:p w14:paraId="3200AD66" w14:textId="5DEF35C4" w:rsidR="004C6FEB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lastRenderedPageBreak/>
              <w:t>c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ontracte 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de vânzare-cumpărare a energiei</w:t>
            </w:r>
          </w:p>
        </w:tc>
      </w:tr>
      <w:tr w:rsidR="00252941" w:rsidRPr="002A3C19" w14:paraId="5E9694B1" w14:textId="77777777" w:rsidTr="00997256">
        <w:tc>
          <w:tcPr>
            <w:tcW w:w="9016" w:type="dxa"/>
          </w:tcPr>
          <w:p w14:paraId="7738F186" w14:textId="156208AE" w:rsidR="004C6FEB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o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>ferte ini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>iatoare/agre</w:t>
            </w:r>
            <w:r w:rsidR="00A86791">
              <w:rPr>
                <w:color w:val="000000" w:themeColor="text1"/>
                <w:sz w:val="24"/>
                <w:szCs w:val="24"/>
                <w:lang w:val="ro-RO"/>
              </w:rPr>
              <w:t>ga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re 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de vânzare-cumpărare a energiei</w:t>
            </w:r>
          </w:p>
        </w:tc>
      </w:tr>
      <w:tr w:rsidR="00252941" w:rsidRPr="002A3C19" w14:paraId="0CAC3B39" w14:textId="77777777" w:rsidTr="00997256">
        <w:tc>
          <w:tcPr>
            <w:tcW w:w="9016" w:type="dxa"/>
          </w:tcPr>
          <w:p w14:paraId="30D5946F" w14:textId="3FD47D24" w:rsidR="004C6FEB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c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>oresponden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a purtată în sensul 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ofertării/contractării energiei</w:t>
            </w:r>
          </w:p>
        </w:tc>
      </w:tr>
      <w:tr w:rsidR="00252941" w:rsidRPr="002A3C19" w14:paraId="37A0A311" w14:textId="77777777" w:rsidTr="00997256">
        <w:tc>
          <w:tcPr>
            <w:tcW w:w="9016" w:type="dxa"/>
          </w:tcPr>
          <w:p w14:paraId="4668A577" w14:textId="74069F30" w:rsidR="004C6FEB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ocumente, registre, acte financiar-contabile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>i comerciale sau alte eviden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e specifice 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activită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  <w:tr w:rsidR="00252941" w:rsidRPr="002A3C19" w14:paraId="3420F410" w14:textId="77777777" w:rsidTr="00997256">
        <w:tc>
          <w:tcPr>
            <w:tcW w:w="9016" w:type="dxa"/>
          </w:tcPr>
          <w:p w14:paraId="1B8E10A3" w14:textId="61E714BB" w:rsidR="004C6FEB" w:rsidRPr="002A3C19" w:rsidRDefault="002705C2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c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>omunicări dintre participantul la pia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ă sau persoana inspectată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avocatul său, realizate în cadrul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4C6FEB" w:rsidRPr="002A3C19">
              <w:rPr>
                <w:color w:val="000000" w:themeColor="text1"/>
                <w:sz w:val="24"/>
                <w:szCs w:val="24"/>
                <w:lang w:val="ro-RO"/>
              </w:rPr>
              <w:t>i în scopul exclusiv al ex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ercitării dreptului la apărare</w:t>
            </w:r>
          </w:p>
        </w:tc>
      </w:tr>
      <w:tr w:rsidR="00252941" w:rsidRPr="002A3C19" w14:paraId="1F706711" w14:textId="77777777" w:rsidTr="00997256">
        <w:tc>
          <w:tcPr>
            <w:tcW w:w="9016" w:type="dxa"/>
          </w:tcPr>
          <w:p w14:paraId="5E773D1D" w14:textId="6E1B556E" w:rsidR="00D013AD" w:rsidRPr="002A3C19" w:rsidRDefault="00397F84" w:rsidP="003E05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date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transmise de persoanele juridice care desfă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oară activită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de montare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exploatare a sistemelor de repartizare a costurilor pentru încălzire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apă caldă de consum în imobile de tip condominiu</w:t>
            </w:r>
          </w:p>
        </w:tc>
      </w:tr>
      <w:tr w:rsidR="00117B2D" w:rsidRPr="002A3C19" w14:paraId="19782018" w14:textId="77777777" w:rsidTr="00997256">
        <w:tc>
          <w:tcPr>
            <w:tcW w:w="9016" w:type="dxa"/>
          </w:tcPr>
          <w:p w14:paraId="4BE48967" w14:textId="14D2B58B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date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transmise în vederea acordării licen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elor în domeniul serviciului de alimentare centralizată cu energie termică</w:t>
            </w:r>
          </w:p>
        </w:tc>
      </w:tr>
      <w:tr w:rsidR="00117B2D" w:rsidRPr="002A3C19" w14:paraId="2DD038BA" w14:textId="77777777" w:rsidTr="00997256">
        <w:tc>
          <w:tcPr>
            <w:tcW w:w="9016" w:type="dxa"/>
          </w:tcPr>
          <w:p w14:paraId="0D205E59" w14:textId="3B09C4C0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date tehnico-economice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aferente raportărilor transmise de către operatorii economici titulari ai licen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elor de producere a energiei termice, transport, distribu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furnizare a energiei termice sau de operatori ai serviciului de alimentare cu energie termică în sistem centralizat, precum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operatorii economici titulari ai unei licen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 pentru exploatarea comercială a capacită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ilor de producere a energiei electrice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 energiei termice în cogenerare</w:t>
            </w:r>
          </w:p>
        </w:tc>
      </w:tr>
      <w:tr w:rsidR="00117B2D" w:rsidRPr="002A3C19" w14:paraId="344968AF" w14:textId="77777777" w:rsidTr="00997256">
        <w:tc>
          <w:tcPr>
            <w:tcW w:w="9016" w:type="dxa"/>
          </w:tcPr>
          <w:p w14:paraId="1887FEDF" w14:textId="01F08920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date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aferente fundamentărilor de pre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uri/tarife pentru serviciile publice de alimentare cu energie termică produsă centralizat, exclusiv energia termică produsă în cogenerare</w:t>
            </w:r>
          </w:p>
        </w:tc>
      </w:tr>
      <w:tr w:rsidR="00117B2D" w:rsidRPr="002A3C19" w14:paraId="5EE8CBC3" w14:textId="77777777" w:rsidTr="00997256">
        <w:tc>
          <w:tcPr>
            <w:tcW w:w="9016" w:type="dxa"/>
          </w:tcPr>
          <w:p w14:paraId="01DEE44B" w14:textId="74ED25FF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documentele generate de ANRE care fundamentează stabilirea, ajustarea sau modificarea pre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urilor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tarifelor locale pentru serviciile publice de alimentare cu energie termică produsă centralizat, exclusiv energia termică produsă în cogenerare, respectiv adrese cu observa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ii, adrese cu puncte de vedere, notă de fundamentare/referat, aviz</w:t>
            </w:r>
          </w:p>
        </w:tc>
      </w:tr>
      <w:tr w:rsidR="00117B2D" w:rsidRPr="002A3C19" w14:paraId="7C960B05" w14:textId="77777777" w:rsidTr="00997256">
        <w:tc>
          <w:tcPr>
            <w:tcW w:w="9016" w:type="dxa"/>
          </w:tcPr>
          <w:p w14:paraId="3DB5A55F" w14:textId="4014F10A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date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aferente bilan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urilor de energie termică transmise de operatori</w:t>
            </w:r>
          </w:p>
        </w:tc>
      </w:tr>
      <w:tr w:rsidR="00117B2D" w:rsidRPr="002A3C19" w14:paraId="308F61FD" w14:textId="77777777" w:rsidTr="00997256">
        <w:tc>
          <w:tcPr>
            <w:tcW w:w="9016" w:type="dxa"/>
          </w:tcPr>
          <w:p w14:paraId="47FF849D" w14:textId="27B28D11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documentele generate de ANRE cu privire la bilan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urile de energie termică</w:t>
            </w:r>
          </w:p>
        </w:tc>
      </w:tr>
      <w:tr w:rsidR="00117B2D" w:rsidRPr="002A3C19" w14:paraId="00940866" w14:textId="77777777" w:rsidTr="00997256">
        <w:tc>
          <w:tcPr>
            <w:tcW w:w="9016" w:type="dxa"/>
          </w:tcPr>
          <w:p w14:paraId="280FC8B8" w14:textId="12F8AFB6" w:rsidR="00117B2D" w:rsidRPr="002A3C19" w:rsidRDefault="00117B2D" w:rsidP="003E055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date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aferente peti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iilor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documenta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 asociată rezolvării acestora în domeniul energiei termice</w:t>
            </w:r>
          </w:p>
        </w:tc>
      </w:tr>
      <w:tr w:rsidR="00932F7F" w:rsidRPr="002A3C19" w14:paraId="2A36A65E" w14:textId="77777777" w:rsidTr="00997256">
        <w:tc>
          <w:tcPr>
            <w:tcW w:w="9016" w:type="dxa"/>
          </w:tcPr>
          <w:p w14:paraId="4A5437BA" w14:textId="16AEB97E" w:rsidR="00932F7F" w:rsidRPr="002A3C19" w:rsidRDefault="00932F7F" w:rsidP="00932F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contractele de furnizare a energiei termice, inclusiv anexele aferente</w:t>
            </w:r>
          </w:p>
          <w:p w14:paraId="47A1EE10" w14:textId="0D66CC2A" w:rsidR="00932F7F" w:rsidRPr="002A3C19" w:rsidRDefault="00932F7F" w:rsidP="00932F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lastRenderedPageBreak/>
              <w:t>conven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iile individuale de facturare a energiei termice, anexă la contractul de furnizare a energiei termice</w:t>
            </w:r>
          </w:p>
        </w:tc>
      </w:tr>
      <w:tr w:rsidR="00932F7F" w:rsidRPr="002A3C19" w14:paraId="0B95943D" w14:textId="77777777" w:rsidTr="00997256">
        <w:tc>
          <w:tcPr>
            <w:tcW w:w="9016" w:type="dxa"/>
          </w:tcPr>
          <w:p w14:paraId="1804CF68" w14:textId="3DAB54C3" w:rsidR="00932F7F" w:rsidRPr="002A3C19" w:rsidRDefault="00932F7F" w:rsidP="00932F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notele de repartizare individuale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centralizatoarele, emise de persoanele juridice care desfă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oară activită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de exploatare a sistemelor de repartizare a costurilor pentru încălzire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apă caldă de consum în imobile de tip condominiu</w:t>
            </w:r>
          </w:p>
        </w:tc>
      </w:tr>
      <w:tr w:rsidR="00932F7F" w:rsidRPr="002A3C19" w14:paraId="7B0A6008" w14:textId="77777777" w:rsidTr="00997256">
        <w:tc>
          <w:tcPr>
            <w:tcW w:w="9016" w:type="dxa"/>
          </w:tcPr>
          <w:p w14:paraId="46385B10" w14:textId="2B06AC8F" w:rsidR="00932F7F" w:rsidRPr="002A3C19" w:rsidRDefault="00932F7F" w:rsidP="00932F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contractele pentru montarea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i/sau exploatarea repartitoarelor de costuri pentru  încălzire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 apă caldă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documenta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tehnice</w:t>
            </w:r>
          </w:p>
        </w:tc>
      </w:tr>
      <w:tr w:rsidR="00932F7F" w:rsidRPr="002A3C19" w14:paraId="79A79138" w14:textId="77777777" w:rsidTr="00997256">
        <w:tc>
          <w:tcPr>
            <w:tcW w:w="9016" w:type="dxa"/>
          </w:tcPr>
          <w:p w14:paraId="4B8648E7" w14:textId="121D9F34" w:rsidR="00932F7F" w:rsidRPr="002A3C19" w:rsidRDefault="00932F7F" w:rsidP="00932F7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9"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informa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referitoare la consumurile/costurile repartizate proprietarilor de apartamente sau spa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iilor cu altă destina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ie, pentru î</w:t>
            </w:r>
            <w:r w:rsidR="00160028"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ncălzire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="00160028" w:rsidRPr="002A3C19">
              <w:rPr>
                <w:color w:val="000000" w:themeColor="text1"/>
                <w:sz w:val="24"/>
                <w:szCs w:val="24"/>
                <w:lang w:val="ro-RO"/>
              </w:rPr>
              <w:t>i apă caldă de consum</w:t>
            </w:r>
          </w:p>
        </w:tc>
      </w:tr>
      <w:tr w:rsidR="00054106" w:rsidRPr="002A3C19" w14:paraId="7BF3834F" w14:textId="77777777" w:rsidTr="00997256">
        <w:tc>
          <w:tcPr>
            <w:tcW w:w="9016" w:type="dxa"/>
          </w:tcPr>
          <w:p w14:paraId="4A21E029" w14:textId="33CBD17F" w:rsidR="00054106" w:rsidRPr="002A3C19" w:rsidRDefault="00054106" w:rsidP="0005410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documente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anexe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care înso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esc:</w:t>
            </w:r>
          </w:p>
          <w:p w14:paraId="335459CF" w14:textId="41B83E91" w:rsidR="00054106" w:rsidRPr="002A3C19" w:rsidRDefault="00054106" w:rsidP="0005410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planul de dezvoltare a sistemului na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ional de transport al gazelor naturale pe 10 ani, elaborat de către SNTGN Transgaz SA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transmis ANRE în vederea aprobării acestuia</w:t>
            </w:r>
          </w:p>
          <w:p w14:paraId="32A19590" w14:textId="77F4E432" w:rsidR="00054106" w:rsidRPr="002A3C19" w:rsidRDefault="00054106" w:rsidP="0005410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planurile de modernizare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dezvoltare investi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transmise anual</w:t>
            </w:r>
          </w:p>
        </w:tc>
      </w:tr>
      <w:tr w:rsidR="00054106" w:rsidRPr="002A3C19" w14:paraId="0F57B2B1" w14:textId="77777777" w:rsidTr="00997256">
        <w:tc>
          <w:tcPr>
            <w:tcW w:w="9016" w:type="dxa"/>
          </w:tcPr>
          <w:p w14:paraId="59F52F82" w14:textId="106659BB" w:rsidR="00054106" w:rsidRPr="002A3C19" w:rsidRDefault="00054106" w:rsidP="0005410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documente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anexe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care înso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esc:</w:t>
            </w:r>
          </w:p>
          <w:p w14:paraId="749AC3C0" w14:textId="7AB42CCE" w:rsidR="00054106" w:rsidRPr="002A3C19" w:rsidRDefault="00054106" w:rsidP="00054106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planurile anuale de investi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ale operatorilor sistemului de distribu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ie a gazelor naturale</w:t>
            </w:r>
          </w:p>
          <w:p w14:paraId="6B5DFA49" w14:textId="5CE732E0" w:rsidR="00054106" w:rsidRPr="002A3C19" w:rsidRDefault="00054106" w:rsidP="00054106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planurile de modernizare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dezvoltare investi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ii transmise anual</w:t>
            </w:r>
          </w:p>
        </w:tc>
      </w:tr>
      <w:tr w:rsidR="00054106" w:rsidRPr="002A3C19" w14:paraId="19140E6A" w14:textId="77777777" w:rsidTr="00997256">
        <w:tc>
          <w:tcPr>
            <w:tcW w:w="9016" w:type="dxa"/>
          </w:tcPr>
          <w:p w14:paraId="5F7715AA" w14:textId="4DC89636" w:rsidR="00BE5F34" w:rsidRPr="002A3C19" w:rsidRDefault="00BE5F34" w:rsidP="00BE5F34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documente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Anexe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care înso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esc:</w:t>
            </w:r>
          </w:p>
          <w:p w14:paraId="3FFA9BDC" w14:textId="27F9C471" w:rsidR="00BE5F34" w:rsidRPr="002A3C19" w:rsidRDefault="00BE5F34" w:rsidP="00BE5F34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planul de dezvoltare a sistemului na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ional de transport al energiei electrice pe 10 ani elaborat de CNTEE Transelectrica SA  </w:t>
            </w:r>
          </w:p>
          <w:p w14:paraId="13936846" w14:textId="629FA99B" w:rsidR="00054106" w:rsidRPr="002A3C19" w:rsidRDefault="00BE5F34" w:rsidP="00BE5F34">
            <w:pPr>
              <w:pStyle w:val="ListParagraph"/>
              <w:numPr>
                <w:ilvl w:val="0"/>
                <w:numId w:val="12"/>
              </w:numPr>
              <w:spacing w:line="360" w:lineRule="auto"/>
              <w:ind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planurile de dezvoltare pe 10 ani ale operatorilor de distribu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ie concesionari ai energiei electrice</w:t>
            </w:r>
          </w:p>
        </w:tc>
      </w:tr>
      <w:tr w:rsidR="00BE5F34" w:rsidRPr="002A3C19" w14:paraId="11D6D8DC" w14:textId="77777777" w:rsidTr="00997256">
        <w:tc>
          <w:tcPr>
            <w:tcW w:w="9016" w:type="dxa"/>
          </w:tcPr>
          <w:p w14:paraId="14DA8C72" w14:textId="2439A4F5" w:rsidR="00BE5F34" w:rsidRPr="002A3C19" w:rsidRDefault="00BE5F34" w:rsidP="00BE5F34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Documente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Anexe cu caracter confiden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ial care înso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esc:</w:t>
            </w:r>
          </w:p>
          <w:p w14:paraId="2D14CBB0" w14:textId="307A3FF2" w:rsidR="00BE5F34" w:rsidRPr="002A3C19" w:rsidRDefault="00BE5F34" w:rsidP="00BE5F34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357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planurile anuale de investi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 xml:space="preserve">ii ale CNTEE Transelectrica SA  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ș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 ale operatorilor de distribu</w:t>
            </w:r>
            <w:r w:rsidR="002A3C19">
              <w:rPr>
                <w:color w:val="000000" w:themeColor="text1"/>
                <w:sz w:val="24"/>
                <w:szCs w:val="24"/>
                <w:lang w:val="ro-RO"/>
              </w:rPr>
              <w:t>ț</w:t>
            </w:r>
            <w:r w:rsidRPr="002A3C19">
              <w:rPr>
                <w:color w:val="000000" w:themeColor="text1"/>
                <w:sz w:val="24"/>
                <w:szCs w:val="24"/>
                <w:lang w:val="ro-RO"/>
              </w:rPr>
              <w:t>ie concesionari ai energiei electrice</w:t>
            </w:r>
          </w:p>
        </w:tc>
      </w:tr>
    </w:tbl>
    <w:p w14:paraId="75DBD7E9" w14:textId="2A803ECC" w:rsidR="00C73ABB" w:rsidRPr="002A3C19" w:rsidRDefault="00C73ABB" w:rsidP="004C643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5F0BC9D3" w14:textId="3179A8D6" w:rsidR="00054106" w:rsidRPr="002A3C19" w:rsidRDefault="00054106" w:rsidP="00054106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sectPr w:rsidR="00054106" w:rsidRPr="002A3C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ADE0" w14:textId="77777777" w:rsidR="009A5E58" w:rsidRDefault="009A5E58" w:rsidP="00957DB6">
      <w:r>
        <w:separator/>
      </w:r>
    </w:p>
  </w:endnote>
  <w:endnote w:type="continuationSeparator" w:id="0">
    <w:p w14:paraId="4DFF02C3" w14:textId="77777777" w:rsidR="009A5E58" w:rsidRDefault="009A5E58" w:rsidP="0095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077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0D452" w14:textId="77777777" w:rsidR="004C19E2" w:rsidRDefault="004C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9E217B" w14:textId="77777777" w:rsidR="004C19E2" w:rsidRDefault="004C1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FE11" w14:textId="77777777" w:rsidR="009A5E58" w:rsidRDefault="009A5E58" w:rsidP="00957DB6">
      <w:r>
        <w:separator/>
      </w:r>
    </w:p>
  </w:footnote>
  <w:footnote w:type="continuationSeparator" w:id="0">
    <w:p w14:paraId="571D9633" w14:textId="77777777" w:rsidR="009A5E58" w:rsidRDefault="009A5E58" w:rsidP="0095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3BFD"/>
    <w:multiLevelType w:val="hybridMultilevel"/>
    <w:tmpl w:val="16C03B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969"/>
    <w:multiLevelType w:val="hybridMultilevel"/>
    <w:tmpl w:val="1C08C540"/>
    <w:lvl w:ilvl="0" w:tplc="E374634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F083C56"/>
    <w:multiLevelType w:val="hybridMultilevel"/>
    <w:tmpl w:val="1054B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40A4"/>
    <w:multiLevelType w:val="hybridMultilevel"/>
    <w:tmpl w:val="2C180F80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5693049"/>
    <w:multiLevelType w:val="hybridMultilevel"/>
    <w:tmpl w:val="EAD0E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7B4"/>
    <w:multiLevelType w:val="hybridMultilevel"/>
    <w:tmpl w:val="34121EC0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DCD3498"/>
    <w:multiLevelType w:val="hybridMultilevel"/>
    <w:tmpl w:val="E8687C2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0C74B68"/>
    <w:multiLevelType w:val="hybridMultilevel"/>
    <w:tmpl w:val="2FEE1D8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CF81342"/>
    <w:multiLevelType w:val="hybridMultilevel"/>
    <w:tmpl w:val="521C7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B2E"/>
    <w:multiLevelType w:val="hybridMultilevel"/>
    <w:tmpl w:val="6FA45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069B"/>
    <w:multiLevelType w:val="hybridMultilevel"/>
    <w:tmpl w:val="620E129E"/>
    <w:lvl w:ilvl="0" w:tplc="ABE63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D4051"/>
    <w:multiLevelType w:val="hybridMultilevel"/>
    <w:tmpl w:val="8FE26050"/>
    <w:lvl w:ilvl="0" w:tplc="EFDC82C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931669"/>
    <w:multiLevelType w:val="hybridMultilevel"/>
    <w:tmpl w:val="EA22D2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3D"/>
    <w:rsid w:val="0002368D"/>
    <w:rsid w:val="00024650"/>
    <w:rsid w:val="00040A3C"/>
    <w:rsid w:val="00042231"/>
    <w:rsid w:val="00046DFA"/>
    <w:rsid w:val="00054106"/>
    <w:rsid w:val="00054FEC"/>
    <w:rsid w:val="00062AD8"/>
    <w:rsid w:val="00065AE2"/>
    <w:rsid w:val="00067532"/>
    <w:rsid w:val="0007688F"/>
    <w:rsid w:val="00081B58"/>
    <w:rsid w:val="00082906"/>
    <w:rsid w:val="000916C4"/>
    <w:rsid w:val="000A0952"/>
    <w:rsid w:val="000A5069"/>
    <w:rsid w:val="000C0E52"/>
    <w:rsid w:val="000C5AF0"/>
    <w:rsid w:val="000E3875"/>
    <w:rsid w:val="000E54A8"/>
    <w:rsid w:val="000F1966"/>
    <w:rsid w:val="000F3195"/>
    <w:rsid w:val="00110DE3"/>
    <w:rsid w:val="001132E9"/>
    <w:rsid w:val="00114B6C"/>
    <w:rsid w:val="00117B2D"/>
    <w:rsid w:val="001202DE"/>
    <w:rsid w:val="001251A8"/>
    <w:rsid w:val="001254A4"/>
    <w:rsid w:val="001365F1"/>
    <w:rsid w:val="00137F3F"/>
    <w:rsid w:val="00144857"/>
    <w:rsid w:val="001454FB"/>
    <w:rsid w:val="001536E0"/>
    <w:rsid w:val="001543B2"/>
    <w:rsid w:val="00160028"/>
    <w:rsid w:val="001630EC"/>
    <w:rsid w:val="00163D10"/>
    <w:rsid w:val="00176F4C"/>
    <w:rsid w:val="00180004"/>
    <w:rsid w:val="001807E0"/>
    <w:rsid w:val="001B5FF4"/>
    <w:rsid w:val="001C64E4"/>
    <w:rsid w:val="001D0C03"/>
    <w:rsid w:val="001D5BB9"/>
    <w:rsid w:val="001F1FE1"/>
    <w:rsid w:val="001F31B5"/>
    <w:rsid w:val="002129B4"/>
    <w:rsid w:val="00215DE0"/>
    <w:rsid w:val="00222A38"/>
    <w:rsid w:val="00225ECE"/>
    <w:rsid w:val="00232F65"/>
    <w:rsid w:val="00234F02"/>
    <w:rsid w:val="0024016A"/>
    <w:rsid w:val="00242764"/>
    <w:rsid w:val="00242DB2"/>
    <w:rsid w:val="00246939"/>
    <w:rsid w:val="00252941"/>
    <w:rsid w:val="00252BD7"/>
    <w:rsid w:val="00253E82"/>
    <w:rsid w:val="00256EF8"/>
    <w:rsid w:val="00266AE5"/>
    <w:rsid w:val="002705C2"/>
    <w:rsid w:val="002778C9"/>
    <w:rsid w:val="00284A33"/>
    <w:rsid w:val="00292E3C"/>
    <w:rsid w:val="002A3C19"/>
    <w:rsid w:val="002A6D1C"/>
    <w:rsid w:val="002B2AE3"/>
    <w:rsid w:val="002C160F"/>
    <w:rsid w:val="002C354E"/>
    <w:rsid w:val="002C4BC2"/>
    <w:rsid w:val="002F001D"/>
    <w:rsid w:val="002F010B"/>
    <w:rsid w:val="002F223E"/>
    <w:rsid w:val="00300991"/>
    <w:rsid w:val="003227DC"/>
    <w:rsid w:val="003450BC"/>
    <w:rsid w:val="00352DA9"/>
    <w:rsid w:val="00356BC7"/>
    <w:rsid w:val="00357021"/>
    <w:rsid w:val="00362D2A"/>
    <w:rsid w:val="00365377"/>
    <w:rsid w:val="00366308"/>
    <w:rsid w:val="00377622"/>
    <w:rsid w:val="00381986"/>
    <w:rsid w:val="00381F13"/>
    <w:rsid w:val="00383387"/>
    <w:rsid w:val="00397F84"/>
    <w:rsid w:val="003C27E0"/>
    <w:rsid w:val="003C645B"/>
    <w:rsid w:val="003E0550"/>
    <w:rsid w:val="0040641A"/>
    <w:rsid w:val="004065AD"/>
    <w:rsid w:val="0042116F"/>
    <w:rsid w:val="00431CA3"/>
    <w:rsid w:val="00434283"/>
    <w:rsid w:val="004400DE"/>
    <w:rsid w:val="004423A5"/>
    <w:rsid w:val="004558E4"/>
    <w:rsid w:val="0045633C"/>
    <w:rsid w:val="004653AB"/>
    <w:rsid w:val="00473866"/>
    <w:rsid w:val="004943AE"/>
    <w:rsid w:val="00495288"/>
    <w:rsid w:val="004A596B"/>
    <w:rsid w:val="004A7773"/>
    <w:rsid w:val="004B1D30"/>
    <w:rsid w:val="004C19E2"/>
    <w:rsid w:val="004C21B2"/>
    <w:rsid w:val="004C2D3E"/>
    <w:rsid w:val="004C6439"/>
    <w:rsid w:val="004C6FEB"/>
    <w:rsid w:val="004D13EB"/>
    <w:rsid w:val="004E43C8"/>
    <w:rsid w:val="00500BC2"/>
    <w:rsid w:val="00506288"/>
    <w:rsid w:val="00525C46"/>
    <w:rsid w:val="00532721"/>
    <w:rsid w:val="00535280"/>
    <w:rsid w:val="005377C2"/>
    <w:rsid w:val="0054134E"/>
    <w:rsid w:val="00541BCA"/>
    <w:rsid w:val="00543F61"/>
    <w:rsid w:val="0055195D"/>
    <w:rsid w:val="00556C08"/>
    <w:rsid w:val="0057435D"/>
    <w:rsid w:val="0057761F"/>
    <w:rsid w:val="00581851"/>
    <w:rsid w:val="00584A9F"/>
    <w:rsid w:val="00587263"/>
    <w:rsid w:val="00592C63"/>
    <w:rsid w:val="005979E9"/>
    <w:rsid w:val="005C6A3D"/>
    <w:rsid w:val="005D6C31"/>
    <w:rsid w:val="005E0319"/>
    <w:rsid w:val="005E2F1D"/>
    <w:rsid w:val="006010B1"/>
    <w:rsid w:val="00607FBB"/>
    <w:rsid w:val="00620E2F"/>
    <w:rsid w:val="00625F8D"/>
    <w:rsid w:val="006379A8"/>
    <w:rsid w:val="00640F71"/>
    <w:rsid w:val="006423FD"/>
    <w:rsid w:val="006643B0"/>
    <w:rsid w:val="00693CDC"/>
    <w:rsid w:val="006A05CD"/>
    <w:rsid w:val="006A3762"/>
    <w:rsid w:val="006B0609"/>
    <w:rsid w:val="006B3EB7"/>
    <w:rsid w:val="006B46F6"/>
    <w:rsid w:val="006B7654"/>
    <w:rsid w:val="006C36EB"/>
    <w:rsid w:val="006D6824"/>
    <w:rsid w:val="006E49D8"/>
    <w:rsid w:val="006E6E75"/>
    <w:rsid w:val="006F5C9A"/>
    <w:rsid w:val="00713176"/>
    <w:rsid w:val="00715418"/>
    <w:rsid w:val="00717ABB"/>
    <w:rsid w:val="00726422"/>
    <w:rsid w:val="00730A5D"/>
    <w:rsid w:val="0073683A"/>
    <w:rsid w:val="00760155"/>
    <w:rsid w:val="007618E8"/>
    <w:rsid w:val="00773B8C"/>
    <w:rsid w:val="007840FF"/>
    <w:rsid w:val="0078511B"/>
    <w:rsid w:val="00790D05"/>
    <w:rsid w:val="00792613"/>
    <w:rsid w:val="007C0F5A"/>
    <w:rsid w:val="007C584E"/>
    <w:rsid w:val="007D5175"/>
    <w:rsid w:val="007D7629"/>
    <w:rsid w:val="007E3470"/>
    <w:rsid w:val="00804994"/>
    <w:rsid w:val="0080708E"/>
    <w:rsid w:val="00815849"/>
    <w:rsid w:val="008211C0"/>
    <w:rsid w:val="008350CB"/>
    <w:rsid w:val="00836792"/>
    <w:rsid w:val="00837F81"/>
    <w:rsid w:val="00841248"/>
    <w:rsid w:val="00842A65"/>
    <w:rsid w:val="00855759"/>
    <w:rsid w:val="00864655"/>
    <w:rsid w:val="00866998"/>
    <w:rsid w:val="00870B4A"/>
    <w:rsid w:val="00872E5A"/>
    <w:rsid w:val="00875123"/>
    <w:rsid w:val="00876ABD"/>
    <w:rsid w:val="00876F9E"/>
    <w:rsid w:val="00883896"/>
    <w:rsid w:val="0088682F"/>
    <w:rsid w:val="008910E5"/>
    <w:rsid w:val="00897A72"/>
    <w:rsid w:val="00897AC5"/>
    <w:rsid w:val="008B25BC"/>
    <w:rsid w:val="008B610A"/>
    <w:rsid w:val="008B6C0C"/>
    <w:rsid w:val="008B74BD"/>
    <w:rsid w:val="008C2A2D"/>
    <w:rsid w:val="008D16AB"/>
    <w:rsid w:val="008D34C2"/>
    <w:rsid w:val="008E2576"/>
    <w:rsid w:val="008E511F"/>
    <w:rsid w:val="008E6EFD"/>
    <w:rsid w:val="008F3229"/>
    <w:rsid w:val="008F3C60"/>
    <w:rsid w:val="00900DAE"/>
    <w:rsid w:val="009070D6"/>
    <w:rsid w:val="00913BDD"/>
    <w:rsid w:val="00923F6C"/>
    <w:rsid w:val="0092426C"/>
    <w:rsid w:val="00932F7F"/>
    <w:rsid w:val="00935A7C"/>
    <w:rsid w:val="009405BB"/>
    <w:rsid w:val="00950319"/>
    <w:rsid w:val="00957DB6"/>
    <w:rsid w:val="00977E1A"/>
    <w:rsid w:val="009815F8"/>
    <w:rsid w:val="0098513C"/>
    <w:rsid w:val="00993EF3"/>
    <w:rsid w:val="00997256"/>
    <w:rsid w:val="009A5E58"/>
    <w:rsid w:val="009B2D6A"/>
    <w:rsid w:val="009C52A1"/>
    <w:rsid w:val="009D0D61"/>
    <w:rsid w:val="009D38B6"/>
    <w:rsid w:val="009D6209"/>
    <w:rsid w:val="00A00A5E"/>
    <w:rsid w:val="00A024E0"/>
    <w:rsid w:val="00A03C4D"/>
    <w:rsid w:val="00A15A4A"/>
    <w:rsid w:val="00A43A63"/>
    <w:rsid w:val="00A44D94"/>
    <w:rsid w:val="00A563BD"/>
    <w:rsid w:val="00A57E68"/>
    <w:rsid w:val="00A6275B"/>
    <w:rsid w:val="00A84DED"/>
    <w:rsid w:val="00A86791"/>
    <w:rsid w:val="00A876E7"/>
    <w:rsid w:val="00A90054"/>
    <w:rsid w:val="00A97AFF"/>
    <w:rsid w:val="00AC2B11"/>
    <w:rsid w:val="00AC518D"/>
    <w:rsid w:val="00AC6797"/>
    <w:rsid w:val="00AD7C5A"/>
    <w:rsid w:val="00AE03E8"/>
    <w:rsid w:val="00AE1131"/>
    <w:rsid w:val="00AE3902"/>
    <w:rsid w:val="00AE3DC8"/>
    <w:rsid w:val="00B13861"/>
    <w:rsid w:val="00B13F05"/>
    <w:rsid w:val="00B16C13"/>
    <w:rsid w:val="00B260B6"/>
    <w:rsid w:val="00B3018D"/>
    <w:rsid w:val="00B410E3"/>
    <w:rsid w:val="00B45F02"/>
    <w:rsid w:val="00B46A5B"/>
    <w:rsid w:val="00B56D4B"/>
    <w:rsid w:val="00B638C7"/>
    <w:rsid w:val="00B6715E"/>
    <w:rsid w:val="00B71BA0"/>
    <w:rsid w:val="00B75D4F"/>
    <w:rsid w:val="00BA058B"/>
    <w:rsid w:val="00BA4A32"/>
    <w:rsid w:val="00BA66AD"/>
    <w:rsid w:val="00BB0BA4"/>
    <w:rsid w:val="00BB2DBA"/>
    <w:rsid w:val="00BE5F34"/>
    <w:rsid w:val="00BE6A8E"/>
    <w:rsid w:val="00BE7144"/>
    <w:rsid w:val="00BF4CD8"/>
    <w:rsid w:val="00C11397"/>
    <w:rsid w:val="00C17701"/>
    <w:rsid w:val="00C27B60"/>
    <w:rsid w:val="00C35E7E"/>
    <w:rsid w:val="00C4795F"/>
    <w:rsid w:val="00C50724"/>
    <w:rsid w:val="00C524A9"/>
    <w:rsid w:val="00C73ABB"/>
    <w:rsid w:val="00C84589"/>
    <w:rsid w:val="00C85E77"/>
    <w:rsid w:val="00C91D96"/>
    <w:rsid w:val="00C93339"/>
    <w:rsid w:val="00C95513"/>
    <w:rsid w:val="00CA4DF0"/>
    <w:rsid w:val="00CB1E3A"/>
    <w:rsid w:val="00CB6FCB"/>
    <w:rsid w:val="00CB7C06"/>
    <w:rsid w:val="00CF6DD7"/>
    <w:rsid w:val="00D013AD"/>
    <w:rsid w:val="00D027B2"/>
    <w:rsid w:val="00D24F76"/>
    <w:rsid w:val="00D30419"/>
    <w:rsid w:val="00D357CE"/>
    <w:rsid w:val="00D458E2"/>
    <w:rsid w:val="00D57A30"/>
    <w:rsid w:val="00D61FA7"/>
    <w:rsid w:val="00D86A0C"/>
    <w:rsid w:val="00D97868"/>
    <w:rsid w:val="00DA38D0"/>
    <w:rsid w:val="00DD079F"/>
    <w:rsid w:val="00DD46A7"/>
    <w:rsid w:val="00DE3872"/>
    <w:rsid w:val="00DF4261"/>
    <w:rsid w:val="00E23F76"/>
    <w:rsid w:val="00E244E5"/>
    <w:rsid w:val="00E37FB1"/>
    <w:rsid w:val="00E43CD2"/>
    <w:rsid w:val="00E5095A"/>
    <w:rsid w:val="00E57E39"/>
    <w:rsid w:val="00E61671"/>
    <w:rsid w:val="00E74FEC"/>
    <w:rsid w:val="00E95E98"/>
    <w:rsid w:val="00EA35F3"/>
    <w:rsid w:val="00EB3C65"/>
    <w:rsid w:val="00EB52FD"/>
    <w:rsid w:val="00EC596E"/>
    <w:rsid w:val="00ED76D9"/>
    <w:rsid w:val="00EE19EE"/>
    <w:rsid w:val="00EE48BF"/>
    <w:rsid w:val="00EF0714"/>
    <w:rsid w:val="00EF0D07"/>
    <w:rsid w:val="00EF31A5"/>
    <w:rsid w:val="00F00947"/>
    <w:rsid w:val="00F032F7"/>
    <w:rsid w:val="00F12444"/>
    <w:rsid w:val="00F175B8"/>
    <w:rsid w:val="00F22BF5"/>
    <w:rsid w:val="00F22CDA"/>
    <w:rsid w:val="00F27A84"/>
    <w:rsid w:val="00F346D3"/>
    <w:rsid w:val="00F35864"/>
    <w:rsid w:val="00F37F1E"/>
    <w:rsid w:val="00F455E8"/>
    <w:rsid w:val="00F47717"/>
    <w:rsid w:val="00F5017A"/>
    <w:rsid w:val="00F52817"/>
    <w:rsid w:val="00F55DCB"/>
    <w:rsid w:val="00F66E04"/>
    <w:rsid w:val="00F712CA"/>
    <w:rsid w:val="00F8049F"/>
    <w:rsid w:val="00F81150"/>
    <w:rsid w:val="00F87284"/>
    <w:rsid w:val="00FA238B"/>
    <w:rsid w:val="00FA726A"/>
    <w:rsid w:val="00FA7DE3"/>
    <w:rsid w:val="00FC6196"/>
    <w:rsid w:val="00FE3C99"/>
    <w:rsid w:val="00FE498E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A3D"/>
    <w:rPr>
      <w:color w:val="0000FF"/>
      <w:u w:val="single"/>
    </w:rPr>
  </w:style>
  <w:style w:type="paragraph" w:customStyle="1" w:styleId="Datedadoption">
    <w:name w:val="Date d'adoption"/>
    <w:basedOn w:val="Normal"/>
    <w:next w:val="Normal"/>
    <w:rsid w:val="005C6A3D"/>
    <w:pPr>
      <w:spacing w:before="360" w:line="360" w:lineRule="auto"/>
      <w:ind w:left="357"/>
      <w:jc w:val="center"/>
    </w:pPr>
    <w:rPr>
      <w:rFonts w:cs="Arial"/>
      <w:b/>
      <w:bCs/>
      <w:kern w:val="32"/>
      <w:sz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6D6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7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4BD"/>
  </w:style>
  <w:style w:type="character" w:customStyle="1" w:styleId="CommentTextChar">
    <w:name w:val="Comment Text Char"/>
    <w:basedOn w:val="DefaultParagraphFont"/>
    <w:link w:val="CommentText"/>
    <w:uiPriority w:val="99"/>
    <w:rsid w:val="008B74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4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B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A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mzdsnrrha/legea-nr-160-2012-pentru-aprobarea-ordonantei-de-urgenta-a-guvernului-nr-33-2007-privind-modificarea-si-completarea-legii-energiei-electrice-nr-13-2007-si-legii-gazelor-nr-351-2004?d=2020-07-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2020-08-26T08:18:00Z</dcterms:created>
  <dcterms:modified xsi:type="dcterms:W3CDTF">2020-08-26T08:18:00Z</dcterms:modified>
</cp:coreProperties>
</file>